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5" Type="http://schemas.openxmlformats.org/officeDocument/2006/relationships/extended-properties" Target="docProps/app.xml"/><Relationship Id="rId16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440"/>
          <w:tab w:val="left" w:pos="1980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5 сентября 2024 года № 40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 внесении изменений в решение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Совета депутатов от 13 ноября 2023 года № 50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«Об арендной плате за земельные участки, находящиеся в собственности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муниципального образования Пикалевское городское поселение Бокситогорского муниципального района Ленинградской области»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эффективности использования земельных участков, находящихся в муниципальной собственности, на основании </w:t>
      </w:r>
      <w:hyperlink r:id="rId3">
        <w:r>
          <w:rPr>
            <w:rFonts w:ascii="Times New Roman" w:eastAsia="Times New Roman" w:hAnsi="Times New Roman" w:cs="Times New Roman"/>
            <w:sz w:val="28"/>
          </w:rPr>
          <w:t xml:space="preserve">стат</w:t>
        </w:r>
      </w:hyperlink>
      <w:r>
        <w:rPr>
          <w:rFonts w:ascii="Times New Roman" w:eastAsia="Times New Roman" w:hAnsi="Times New Roman" w:cs="Times New Roman"/>
          <w:sz w:val="28"/>
        </w:rPr>
        <w:t xml:space="preserve">ей 22, </w:t>
      </w:r>
      <w:hyperlink r:id="rId4">
        <w:r>
          <w:rPr>
            <w:rFonts w:ascii="Times New Roman" w:eastAsia="Times New Roman" w:hAnsi="Times New Roman" w:cs="Times New Roman"/>
            <w:sz w:val="28"/>
          </w:rPr>
          <w:t xml:space="preserve">65</w:t>
        </w:r>
      </w:hyperlink>
      <w:r>
        <w:rPr>
          <w:rFonts w:ascii="Times New Roman" w:eastAsia="Times New Roman" w:hAnsi="Times New Roman" w:cs="Times New Roman"/>
          <w:sz w:val="28"/>
        </w:rPr>
        <w:t xml:space="preserve"> Земельного кодекса Российской Федерации, </w:t>
      </w:r>
      <w:hyperlink r:id="rId5">
        <w:r>
          <w:rPr>
            <w:rFonts w:ascii="Times New Roman" w:eastAsia="Times New Roman" w:hAnsi="Times New Roman" w:cs="Times New Roman"/>
            <w:sz w:val="28"/>
          </w:rPr>
          <w:t xml:space="preserve">статей 7</w:t>
        </w:r>
      </w:hyperlink>
      <w:r>
        <w:rPr>
          <w:rFonts w:ascii="Times New Roman" w:eastAsia="Times New Roman" w:hAnsi="Times New Roman" w:cs="Times New Roman"/>
          <w:sz w:val="28"/>
        </w:rPr>
        <w:t xml:space="preserve">, </w:t>
      </w:r>
      <w:hyperlink r:id="rId6">
        <w:r>
          <w:rPr>
            <w:rFonts w:ascii="Times New Roman" w:eastAsia="Times New Roman" w:hAnsi="Times New Roman" w:cs="Times New Roman"/>
            <w:sz w:val="28"/>
          </w:rPr>
          <w:t xml:space="preserve">14</w:t>
        </w:r>
      </w:hyperlink>
      <w:r>
        <w:rPr>
          <w:rFonts w:ascii="Times New Roman" w:eastAsia="Times New Roman" w:hAnsi="Times New Roman" w:cs="Times New Roman"/>
          <w:sz w:val="28"/>
        </w:rPr>
        <w:t xml:space="preserve"> Федерального закона от 06 октября 2003 года № 131-ФЗ «Об общих принципах организации местного самоуправления в Российской Федерации», с учетом прогнозных индексов-дефляторов, установленными Минэкономразвития России, </w:t>
      </w:r>
      <w:r>
        <w:rPr>
          <w:spacing w:val="-1"/>
          <w:rFonts w:ascii="Times New Roman" w:eastAsia="Times New Roman" w:hAnsi="Times New Roman" w:cs="Times New Roman"/>
          <w:sz w:val="28"/>
        </w:rPr>
        <w:t xml:space="preserve">Совет депутатов Пикалевского городского поселения </w:t>
      </w:r>
      <w:r>
        <w:rPr>
          <w:spacing w:val="20"/>
          <w:rFonts w:ascii="Times New Roman" w:eastAsia="Times New Roman" w:hAnsi="Times New Roman" w:cs="Times New Roman"/>
          <w:sz w:val="28"/>
        </w:rPr>
        <w:t xml:space="preserve">решил</w:t>
      </w:r>
      <w:r>
        <w:rPr>
          <w:spacing w:val="1"/>
          <w:rFonts w:ascii="Times New Roman" w:eastAsia="Times New Roman" w:hAnsi="Times New Roman" w:cs="Times New Roman"/>
          <w:sz w:val="28"/>
        </w:rPr>
        <w:t xml:space="preserve">: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numPr>
          <w:ilvl w:val="1"/>
          <w:numId w:val="4"/>
        </w:numPr>
        <w:rPr>
          <w:b w:val="fals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Внести следующие изменения в решение Совета депутатов от 13 ноября 2023 года № 50 «Об арендной плате за земельные участки, находящиеся в собственности муниципального образования Пикалевское городское поселение Бокситогорского муниципального района Ленинградской области», изложив Приложение 2</w:t>
      </w:r>
      <w:r>
        <w:rPr>
          <w:b w:val="true"/>
          <w:rFonts w:ascii="Times New Roman" w:eastAsia="Times New Roman" w:hAnsi="Times New Roman" w:cs="Times New Roman"/>
          <w:sz w:val="28"/>
        </w:rPr>
        <w:t xml:space="preserve"> </w:t>
      </w:r>
      <w:r>
        <w:rPr>
          <w:b w:val="false"/>
          <w:rFonts w:ascii="Times New Roman" w:eastAsia="Times New Roman" w:hAnsi="Times New Roman" w:cs="Times New Roman"/>
          <w:sz w:val="28"/>
        </w:rPr>
        <w:t xml:space="preserve">«Расчетные ставки арендной платы за земельные участки, находящиеся в собственности муниципального образования Пикалевское городское поселение Бокситогорского муниципального района Ленинградской области» в новой редакции (приложение).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3.    Настоящее решение вступает в силу с 1 января 2025 года.</w:t>
      </w:r>
    </w:p>
    <w:p>
      <w:pPr>
        <w:jc w:val="both"/>
        <w:textAlignment w:val="auto"/>
        <w:ind w:firstLine="708" w:left="0" w:right="0" w:start="0" w:end="0"/>
        <w:spacing w:after="0" w:line="240"/>
        <w:bidi w:val="false"/>
        <w:rPr>
          <w:b w:val="false"/>
          <w:spacing w:val="1"/>
          <w:rFonts w:ascii="Times New Roman" w:eastAsia="Times New Roman" w:hAnsi="Times New Roman" w:cs="Times New Roman"/>
          <w:sz w:val="28"/>
        </w:rPr>
      </w:pPr>
      <w:r>
        <w:rPr>
          <w:b w:val="false"/>
          <w:spacing w:val="-1"/>
          <w:rFonts w:ascii="Times New Roman" w:eastAsia="Times New Roman" w:hAnsi="Times New Roman" w:cs="Times New Roman"/>
          <w:sz w:val="28"/>
        </w:rPr>
        <w:t xml:space="preserve">4.    </w:t>
      </w:r>
      <w:r>
        <w:rPr>
          <w:b w:val="false"/>
          <w:spacing w:val="1"/>
          <w:rFonts w:ascii="Times New Roman" w:eastAsia="Times New Roman" w:hAnsi="Times New Roman" w:cs="Times New Roman"/>
          <w:sz w:val="28"/>
        </w:rPr>
        <w:t xml:space="preserve">Настоящее решение подлежит опубликованию в газете «Рабочее слово» и размещению на официальном сайте Пикалевского городского поселения.</w:t>
      </w:r>
    </w:p>
    <w:p>
      <w:pPr>
        <w:jc w:val="both"/>
        <w:textAlignment w:val="auto"/>
        <w:ind w:firstLine="708" w:left="0" w:right="0" w:start="0" w:end="0"/>
        <w:adjustRightInd w:val="true"/>
        <w:spacing w:after="0" w:line="240"/>
        <w:bidi w:val="false"/>
        <w:rPr>
          <w:spacing w:val="-16"/>
          <w:rFonts w:ascii="Times New Roman" w:eastAsia="Times New Roman" w:hAnsi="Times New Roman" w:cs="Times New Roman"/>
          <w:sz w:val="28"/>
        </w:rPr>
      </w:pPr>
      <w:r>
        <w:rPr>
          <w:spacing w:val="1"/>
          <w:rFonts w:ascii="Times New Roman" w:eastAsia="Times New Roman" w:hAnsi="Times New Roman" w:cs="Times New Roman"/>
          <w:sz w:val="28"/>
        </w:rPr>
        <w:t xml:space="preserve">5. </w:t>
      </w:r>
      <w:r>
        <w:rPr>
          <w:spacing w:val="2"/>
          <w:rFonts w:ascii="Times New Roman" w:eastAsia="Times New Roman" w:hAnsi="Times New Roman" w:cs="Times New Roman"/>
          <w:sz w:val="28"/>
        </w:rPr>
        <w:t xml:space="preserve">Контроль за исполнением данного решения возложить на главу администрации Пикалевского городского поселения</w:t>
      </w:r>
      <w:r>
        <w:rPr>
          <w:rFonts w:ascii="Times New Roman" w:eastAsia="Times New Roman" w:hAnsi="Times New Roman" w:cs="Times New Roman"/>
          <w:sz w:val="28"/>
        </w:rPr>
        <w:t xml:space="preserve">.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3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3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3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3"/>
          <w:rFonts w:ascii="Times New Roman" w:eastAsia="Times New Roman" w:hAnsi="Times New Roman" w:cs="Times New Roman"/>
          <w:sz w:val="28"/>
        </w:rPr>
      </w:pPr>
      <w:r>
        <w:rPr>
          <w:spacing w:val="-3"/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                                              Л.И. Гришкина</w:t>
      </w:r>
    </w:p>
    <w:p>
      <w:pPr>
        <w:outlineLvl w:val="0"/>
        <w:jc w:val="righ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УТВЕРЖДЕНЫ</w:t>
      </w:r>
    </w:p>
    <w:p>
      <w:pPr>
        <w:jc w:val="righ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решением Совета депутатов</w:t>
      </w:r>
    </w:p>
    <w:p>
      <w:pPr>
        <w:jc w:val="righ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13 ноября 2023 года № 50</w:t>
      </w:r>
    </w:p>
    <w:p>
      <w:pPr>
        <w:jc w:val="righ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редакции решения Совета депутатов</w:t>
      </w:r>
    </w:p>
    <w:p>
      <w:pPr>
        <w:jc w:val="righ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от 5 сентября 2024 года № 40</w:t>
      </w:r>
    </w:p>
    <w:p>
      <w:pPr>
        <w:outlineLvl w:val="0"/>
        <w:jc w:val="righ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(приложение)</w:t>
      </w:r>
    </w:p>
    <w:p>
      <w:pPr>
        <w:jc w:val="center"/>
        <w:textAlignment w:val="auto"/>
        <w:ind w:firstLine="54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firstLine="54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Расчетные ставки арендной платы </w:t>
      </w:r>
    </w:p>
    <w:p>
      <w:pPr>
        <w:jc w:val="center"/>
        <w:textAlignment w:val="auto"/>
        <w:ind w:firstLine="54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 земельные участки, находящиеся в собственности муниципального образования Пикалевское городское поселение </w:t>
      </w:r>
    </w:p>
    <w:p>
      <w:pPr>
        <w:jc w:val="center"/>
        <w:textAlignment w:val="auto"/>
        <w:ind w:firstLine="540"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Courier New" w:eastAsia="Courier New" w:hAnsi="Courier New" w:cs="Courier New"/>
          <w:sz w:val="20"/>
        </w:rPr>
      </w:pPr>
    </w:p>
    <w:tbl>
      <w:tblPr>
        <w:tblLayout w:type="fixed"/>
        <w:tblInd w:w="-176" w:type="dxa"/>
        <w:tblW w:w="0" w:type="auto"/>
        <w:tblCellMar>
          <w:bottom w:w="0" w:type="dxa"/>
          <w:left w:w="108" w:type="dxa"/>
          <w:right w:w="108" w:type="dxa"/>
          <w:top w:w="0" w:type="dxa"/>
        </w:tblCellMar>
        <w:tblBorders>
          <w:left w:sz="4" w:space="0" w:val="single"/>
          <w:right w:sz="4" w:space="0" w:val="single"/>
          <w:top w:sz="4" w:space="0" w:val="single"/>
          <w:bottom w:sz="4" w:space="0" w:val="single"/>
          <w:insideV w:sz="4" w:space="0" w:val="single"/>
          <w:insideH w:sz="4" w:space="0" w:val="single"/>
        </w:tblBorders>
      </w:tblPr>
      <w:tblGrid>
        <w:gridCol w:w="7230"/>
        <w:gridCol w:w="1417"/>
        <w:gridCol w:w="1418"/>
      </w:tblGrid>
      <w:tr>
        <w:tc>
          <w:tcPr>
            <w:tcW w:type="dxa" w:w="723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Категория земель, </w:t>
            </w:r>
          </w:p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разрешенного использования земельного участка</w:t>
            </w:r>
          </w:p>
        </w:tc>
        <w:tc>
          <w:tcPr>
            <w:tcW w:type="dxa" w:w="141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Расчетная ставка  (руб./га)</w:t>
            </w:r>
          </w:p>
        </w:tc>
        <w:tc>
          <w:tcPr>
            <w:tcW w:type="dxa" w:w="141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Расчетная ставка  (руб./кв.м.)</w:t>
            </w:r>
          </w:p>
        </w:tc>
      </w:tr>
      <w:tr>
        <w:tc>
          <w:tcPr>
            <w:tcW w:type="dxa" w:w="723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Земельные участки из категории земель населенных пунктов, предоставленные для сельскохозяйственного использования в границах городских населенных пунктов</w:t>
            </w:r>
          </w:p>
        </w:tc>
        <w:tc>
          <w:tcPr>
            <w:tcW w:type="dxa" w:w="1417"/>
            <w:tcBorders>
              <w:left w:sz="4" w:val="single"/>
              <w:top w:sz="4" w:val="single"/>
              <w:right w:sz="4" w:val="single"/>
              <w:bottom w:sz="4" w:val="single"/>
            </w:tcBorders>
            <w:shd w:fill="ffffff" w:val="clear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498,39</w:t>
            </w:r>
          </w:p>
        </w:tc>
        <w:tc>
          <w:tcPr>
            <w:tcW w:type="dxa" w:w="1418"/>
            <w:tcBorders>
              <w:left w:sz="4" w:val="single"/>
              <w:top w:sz="4" w:val="single"/>
              <w:right w:sz="4" w:val="single"/>
              <w:bottom w:sz="4" w:val="single"/>
            </w:tcBorders>
            <w:shd w:fill="ffffff" w:val="clear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0,0498</w:t>
            </w:r>
          </w:p>
        </w:tc>
      </w:tr>
      <w:tr>
        <w:tc>
          <w:tcPr>
            <w:tcW w:type="dxa" w:w="723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Земельные участки из категории земель населенных пунктов предоставленные для иных целей, не связанных с сельскохозяйственным использованием, использованием под личное подсобное хозяйство, индивидуальное жилищное строительство, жилищный фонд, садоводство, дачи, огороды, животноводство, индивидуальные и кооперативные гаражи, в границах городских населенных пунктов</w:t>
            </w:r>
          </w:p>
        </w:tc>
        <w:tc>
          <w:tcPr>
            <w:tcW w:type="dxa" w:w="1417"/>
            <w:tcBorders>
              <w:left w:sz="4" w:val="single"/>
              <w:top w:sz="4" w:val="single"/>
              <w:right w:sz="4" w:val="single"/>
              <w:bottom w:sz="4" w:val="single"/>
            </w:tcBorders>
            <w:shd w:fill="ffffff" w:val="clear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145267,56</w:t>
            </w:r>
          </w:p>
        </w:tc>
        <w:tc>
          <w:tcPr>
            <w:tcW w:type="dxa" w:w="1418"/>
            <w:tcBorders>
              <w:left w:sz="4" w:val="single"/>
              <w:top w:sz="4" w:val="single"/>
              <w:right w:sz="4" w:val="single"/>
              <w:bottom w:sz="4" w:val="single"/>
            </w:tcBorders>
            <w:shd w:fill="ffffff" w:val="clear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14,53</w:t>
            </w:r>
          </w:p>
        </w:tc>
      </w:tr>
      <w:tr>
        <w:tc>
          <w:tcPr>
            <w:tcW w:type="dxa" w:w="723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Земельные участки из категорий земель населенных пунктов, предоставленные под индивидуальное жилищное строительство или занятые жилищным фондом (государственным, муниципальным, общественным, кооперативным, индивидуальным), а также дачными участками граждан, индивидуальными и кооперативными гаражами в границах населенных пунктов</w:t>
            </w:r>
          </w:p>
        </w:tc>
        <w:tc>
          <w:tcPr>
            <w:tcW w:type="dxa" w:w="1417"/>
            <w:tcBorders>
              <w:left w:sz="4" w:val="single"/>
              <w:top w:sz="4" w:val="single"/>
              <w:right w:sz="4" w:val="single"/>
              <w:bottom w:sz="4" w:val="single"/>
            </w:tcBorders>
            <w:shd w:fill="ffffff" w:val="clear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24106,02</w:t>
            </w:r>
          </w:p>
        </w:tc>
        <w:tc>
          <w:tcPr>
            <w:tcW w:type="dxa" w:w="1418"/>
            <w:tcBorders>
              <w:left w:sz="4" w:val="single"/>
              <w:top w:sz="4" w:val="single"/>
              <w:right w:sz="4" w:val="single"/>
              <w:bottom w:sz="4" w:val="single"/>
            </w:tcBorders>
            <w:shd w:fill="ffffff" w:val="clear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2,4106</w:t>
            </w:r>
          </w:p>
        </w:tc>
      </w:tr>
      <w:tr>
        <w:tc>
          <w:tcPr>
            <w:tcW w:type="dxa" w:w="723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Земельные участки из категории земель населенных пунктов, предоставляемые в аренду в соответствии с областным </w:t>
            </w:r>
            <w:hyperlink r:id="rId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законом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от 14 октября 2008 года № 105-оз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области», областным законом Ленинградской области от 17 июля 2018 года № 75-оз «О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</w:t>
            </w:r>
          </w:p>
        </w:tc>
        <w:tc>
          <w:tcPr>
            <w:tcW w:type="dxa" w:w="1417"/>
            <w:tcBorders>
              <w:left w:sz="4" w:val="single"/>
              <w:top w:sz="4" w:val="single"/>
              <w:right w:sz="4" w:val="single"/>
              <w:bottom w:sz="4" w:val="single"/>
            </w:tcBorders>
            <w:shd w:fill="ffffff" w:val="clear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1714,46</w:t>
            </w:r>
          </w:p>
        </w:tc>
        <w:tc>
          <w:tcPr>
            <w:tcW w:type="dxa" w:w="1418"/>
            <w:tcBorders>
              <w:left w:sz="4" w:val="single"/>
              <w:top w:sz="4" w:val="single"/>
              <w:right w:sz="4" w:val="single"/>
              <w:bottom w:sz="4" w:val="single"/>
            </w:tcBorders>
            <w:shd w:fill="ffffff" w:val="clear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0,171</w:t>
            </w:r>
          </w:p>
        </w:tc>
      </w:tr>
      <w:tr>
        <w:tc>
          <w:tcPr>
            <w:tcW w:type="dxa" w:w="723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Земельные участки из категории земель населенных пунктов, предоставленные под личное подсобное хозяйство, для садоводства, огородничества, животноводства, включая земельные участки, занятые строениями и сооружениями в границах городских населенных пунктов</w:t>
            </w:r>
          </w:p>
        </w:tc>
        <w:tc>
          <w:tcPr>
            <w:tcW w:type="dxa" w:w="1417"/>
            <w:tcBorders>
              <w:left w:sz="4" w:val="single"/>
              <w:top w:sz="4" w:val="single"/>
              <w:right w:sz="4" w:val="single"/>
              <w:bottom w:sz="4" w:val="single"/>
            </w:tcBorders>
            <w:shd w:fill="ffffff" w:val="clear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13861,74</w:t>
            </w:r>
          </w:p>
        </w:tc>
        <w:tc>
          <w:tcPr>
            <w:tcW w:type="dxa" w:w="1418"/>
            <w:tcBorders>
              <w:left w:sz="4" w:val="single"/>
              <w:top w:sz="4" w:val="single"/>
              <w:right w:sz="4" w:val="single"/>
              <w:bottom w:sz="4" w:val="single"/>
            </w:tcBorders>
            <w:shd w:fill="ffffff" w:val="clear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</w:p>
          <w:p>
            <w:pPr>
              <w:jc w:val="center"/>
              <w:textAlignment w:val="auto"/>
              <w:ind w:left="0" w:right="0" w:start="0" w:end="0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1,39</w:t>
            </w:r>
          </w:p>
        </w:tc>
      </w:tr>
    </w:tbl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Courier New" w:eastAsia="Courier New" w:hAnsi="Courier New" w:cs="Courier New"/>
          <w:sz w:val="20"/>
        </w:rPr>
      </w:pPr>
    </w:p>
    <w:p>
      <w:pPr>
        <w:jc w:val="lef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1134" w:gutter="0" w:header="709" w:footer="709"/>
      <w:titlePg/>
      <w:headerReference w:type="default" r:id="rId9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ourier New">
    <w:altName w:val="Letter Gothic CE"/>
    <w:panose1 w:val="02070309020205020404"/>
    <w:family w:val="modern"/>
    <w:charset w:val="CC"/>
    <w:pitch w:val="fixed"/>
  </w:font>
  <w:font w:name="Cambria Math">
    <w:panose1 w:val="020405030504060302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Tahoma">
    <w:altName w:val="Times New Roman"/>
    <w:panose1 w:val="020b060403050404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mbria">
    <w:panose1 w:val="020405030504060302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ourier New">
    <w:altName w:val="Letter Gothic CE"/>
    <w:family w:val="modern"/>
    <w:charset w:val="00"/>
    <w:pitch w:val="fixed"/>
  </w:font>
  <w:font w:name="Courier New CE">
    <w:altName w:val="Letter Gothic CE"/>
    <w:family w:val="modern"/>
    <w:charset w:val="EE"/>
    <w:pitch w:val="fixed"/>
  </w:font>
  <w:font w:name="Courier New Greek">
    <w:altName w:val="Letter Gothic CE"/>
    <w:family w:val="modern"/>
    <w:charset w:val="A1"/>
    <w:pitch w:val="fixed"/>
  </w:font>
  <w:font w:name="Courier New Tur">
    <w:altName w:val="Letter Gothic CE"/>
    <w:family w:val="modern"/>
    <w:charset w:val="A2"/>
    <w:pitch w:val="fixed"/>
  </w:font>
  <w:font w:name="Courier New (Hebrew)">
    <w:altName w:val="Letter Gothic CE"/>
    <w:family w:val="modern"/>
    <w:charset w:val="B1"/>
    <w:pitch w:val="fixed"/>
  </w:font>
  <w:font w:name="Courier New (Arabic)">
    <w:altName w:val="Letter Gothic CE"/>
    <w:family w:val="modern"/>
    <w:charset w:val="B2"/>
    <w:pitch w:val="fixed"/>
  </w:font>
  <w:font w:name="Courier New Baltic">
    <w:altName w:val="Letter Gothic CE"/>
    <w:family w:val="modern"/>
    <w:charset w:val="BA"/>
    <w:pitch w:val="fixed"/>
  </w:font>
  <w:font w:name="Courier New (Vietnamese)">
    <w:altName w:val="Letter Gothic CE"/>
    <w:family w:val="modern"/>
    <w:charset w:val="A3"/>
    <w:pitch w:val="fixed"/>
  </w:font>
  <w:font w:name="Cambria Math">
    <w:family w:val="roman"/>
    <w:charset w:val="00"/>
    <w:pitch w:val="variable"/>
  </w:font>
  <w:font w:name="Cambria Math CE">
    <w:family w:val="roman"/>
    <w:charset w:val="EE"/>
    <w:pitch w:val="variable"/>
  </w:font>
  <w:font w:name="Cambria Math Greek">
    <w:family w:val="roman"/>
    <w:charset w:val="A1"/>
    <w:pitch w:val="variable"/>
  </w:font>
  <w:font w:name="Cambria Math Tur">
    <w:family w:val="roman"/>
    <w:charset w:val="A2"/>
    <w:pitch w:val="variable"/>
  </w:font>
  <w:font w:name="Cambria Math Baltic">
    <w:family w:val="roman"/>
    <w:charset w:val="BA"/>
    <w:pitch w:val="variable"/>
  </w:font>
  <w:font w:name="Cambria Math (Vietnamese)"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(Hebrew)">
    <w:altName w:val="Century Gothic"/>
    <w:family w:val="swiss"/>
    <w:charset w:val="B1"/>
    <w:pitch w:val="variable"/>
  </w:font>
  <w:font w:name="Calibri (Arabic)">
    <w:altName w:val="Century Gothic"/>
    <w:family w:val="swiss"/>
    <w:charset w:val="B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Tahoma">
    <w:altName w:val="Times New Roman"/>
    <w:family w:val="swiss"/>
    <w:charset w:val="00"/>
    <w:pitch w:val="variable"/>
  </w:font>
  <w:font w:name="Tahoma CE">
    <w:altName w:val="Times New Roman"/>
    <w:family w:val="swiss"/>
    <w:charset w:val="EE"/>
    <w:pitch w:val="variable"/>
  </w:font>
  <w:font w:name="Tahoma Greek">
    <w:altName w:val="Times New Roman"/>
    <w:family w:val="swiss"/>
    <w:charset w:val="A1"/>
    <w:pitch w:val="variable"/>
  </w:font>
  <w:font w:name="Tahoma Tur">
    <w:altName w:val="Times New Roman"/>
    <w:family w:val="swiss"/>
    <w:charset w:val="A2"/>
    <w:pitch w:val="variable"/>
  </w:font>
  <w:font w:name="Tahoma (Hebrew)">
    <w:altName w:val="Times New Roman"/>
    <w:family w:val="swiss"/>
    <w:charset w:val="B1"/>
    <w:pitch w:val="variable"/>
  </w:font>
  <w:font w:name="Tahoma (Arabic)">
    <w:altName w:val="Times New Roman"/>
    <w:family w:val="swiss"/>
    <w:charset w:val="B2"/>
    <w:pitch w:val="variable"/>
  </w:font>
  <w:font w:name="Tahoma Baltic">
    <w:altName w:val="Times New Roman"/>
    <w:family w:val="swiss"/>
    <w:charset w:val="BA"/>
    <w:pitch w:val="variable"/>
  </w:font>
  <w:font w:name="Tahoma (Vietnamese)">
    <w:altName w:val="Times New Roman"/>
    <w:family w:val="swiss"/>
    <w:charset w:val="A3"/>
    <w:pitch w:val="variable"/>
  </w:font>
  <w:font w:name="Tahoma (Thai)">
    <w:altName w:val="Times New Roman"/>
    <w:family w:val="swiss"/>
    <w:charset w:val="DE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mbria">
    <w:family w:val="roman"/>
    <w:charset w:val="00"/>
    <w:pitch w:val="variable"/>
  </w:font>
  <w:font w:name="Cambria CE">
    <w:family w:val="roman"/>
    <w:charset w:val="EE"/>
    <w:pitch w:val="variable"/>
  </w:font>
  <w:font w:name="Cambria Greek">
    <w:family w:val="roman"/>
    <w:charset w:val="A1"/>
    <w:pitch w:val="variable"/>
  </w:font>
  <w:font w:name="Cambria Tur">
    <w:family w:val="roman"/>
    <w:charset w:val="A2"/>
    <w:pitch w:val="variable"/>
  </w:font>
  <w:font w:name="Cambria Baltic">
    <w:family w:val="roman"/>
    <w:charset w:val="BA"/>
    <w:pitch w:val="variable"/>
  </w:font>
  <w:font w:name="Cambria (Vietnamese)"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(Hebrew)">
    <w:altName w:val="Century Gothic"/>
    <w:family w:val="swiss"/>
    <w:charset w:val="B1"/>
    <w:pitch w:val="variable"/>
  </w:font>
  <w:font w:name="Calibri (Arabic)">
    <w:altName w:val="Century Gothic"/>
    <w:family w:val="swiss"/>
    <w:charset w:val="B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  <w:fldSimple w:instr="PAGE   \* MERGEFORMAT">
      <w:r>
        <w:rPr>
          <w:rFonts w:ascii="Times New Roman" w:eastAsia="Times New Roman" w:hAnsi="Times New Roman" w:cs="Times New Roman"/>
          <w:sz w:val="20"/>
        </w:rPr>
        <w:t xml:space="preserve">2</w:t>
      </w:r>
    </w:fldSimple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55129315">
    <w:multiLevelType w:val="hybridMultilevel"/>
    <w:tmpl w:val="c8a89322"/>
    <w:lvl w:ilvl="0">
      <w:lvlJc w:val="left"/>
      <w:lvlText w:val="%1."/>
      <w:numFmt w:val="decimal"/>
      <w:start w:val="2"/>
      <w:suff w:val="tab"/>
      <w:pPr>
        <w:ind w:hanging="360" w:left="1110" w:start="111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830" w:start="183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50" w:start="255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70" w:start="327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90" w:start="399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710" w:start="471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430" w:start="543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50" w:start="615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70" w:start="6870"/>
      </w:pPr>
      <w:rPr>
        <w:rFonts w:ascii="Times New Roman" w:eastAsia="Times New Roman" w:hAnsi="Times New Roman" w:cs="Times New Roman"/>
        <w:sz w:val="24"/>
      </w:rPr>
    </w:lvl>
  </w:abstractNum>
  <w:abstractNum w:abstractNumId="508301994">
    <w:multiLevelType w:val="hybridMultilevel"/>
    <w:tmpl w:val="ff1ea6ce"/>
    <w:lvl w:ilvl="0">
      <w:lvlJc w:val="left"/>
      <w:lvlText w:val="%1."/>
      <w:numFmt w:val="decimal"/>
      <w:start w:val="1"/>
      <w:suff w:val="tab"/>
      <w:pPr>
        <w:ind w:hanging="990" w:left="1698" w:start="1698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788" w:start="1788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08" w:start="2508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28" w:start="3228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48" w:start="3948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68" w:start="4668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388" w:start="5388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08" w:start="6108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28" w:start="6828"/>
      </w:pPr>
      <w:rPr>
        <w:rFonts w:ascii="Times New Roman" w:eastAsia="Times New Roman" w:hAnsi="Times New Roman" w:cs="Times New Roman"/>
        <w:sz w:val="24"/>
      </w:rPr>
    </w:lvl>
  </w:abstractNum>
  <w:abstractNum w:abstractNumId="856967271">
    <w:multiLevelType w:val="multilevel"/>
    <w:tmpl w:val="5e44b34c"/>
    <w:lvl w:ilvl="0">
      <w:lvlJc w:val="left"/>
      <w:lvlText w:val="%1."/>
      <w:numFmt w:val="decimal"/>
      <w:start w:val="1"/>
      <w:suff w:val="tab"/>
      <w:pPr>
        <w:ind w:hanging="360" w:left="1068" w:start="1068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720" w:left="1428" w:start="1428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1428" w:start="1428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1788" w:start="1788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1788" w:start="1788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2148" w:start="2148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2508" w:start="2508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2508" w:start="2508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2868" w:start="2868"/>
      </w:pPr>
      <w:rPr>
        <w:rFonts w:ascii="Times New Roman" w:eastAsia="Times New Roman" w:hAnsi="Times New Roman" w:cs="Times New Roman"/>
        <w:sz w:val="24"/>
      </w:rPr>
    </w:lvl>
  </w:abstractNum>
  <w:abstractNum w:abstractNumId="1900482577">
    <w:multiLevelType w:val="hybridMultilevel"/>
    <w:tmpl w:val="2fecc82e"/>
    <w:lvl w:ilvl="0">
      <w:lvlJc w:val="left"/>
      <w:lvlText w:val="%1."/>
      <w:numFmt w:val="decimal"/>
      <w:start w:val="2"/>
      <w:suff w:val="tab"/>
      <w:pPr>
        <w:ind w:hanging="360" w:left="1068" w:start="1068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788" w:start="1788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508" w:start="2508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228" w:start="3228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948" w:start="3948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668" w:start="4668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388" w:start="5388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108" w:start="6108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828" w:start="6828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508301994"/>
  </w:num>
  <w:num w:numId="2">
    <w:abstractNumId w:val="55129315"/>
  </w:num>
  <w:num w:numId="3">
    <w:abstractNumId w:val="1900482577"/>
  </w:num>
  <w:num w:numId="4">
    <w:abstractNumId w:val="856967271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hyperlink" Target="consultantplus://offline/ref=A876BCBC83046C668EBEB74A033AF9191D93EBE6AF18EEBF5BB6FA41EBE1DFD482E64054D7BF84386DBDG" TargetMode="External"/><Relationship Id="rId4" Type="http://schemas.openxmlformats.org/officeDocument/2006/relationships/hyperlink" Target="consultantplus://offline/ref=A876BCBC83046C668EBEB74A033AF9191D93EBE6AF18EEBF5BB6FA41EBE1DFD482E64054D7BF80396DB8G" TargetMode="External"/><Relationship Id="rId5" Type="http://schemas.openxmlformats.org/officeDocument/2006/relationships/hyperlink" Target="consultantplus://offline/ref=A876BCBC83046C668EBEB74A033AF9191D93EEE4AD12EEBF5BB6FA41EBE1DFD482E64054D7BF853A6DB4G" TargetMode="External"/><Relationship Id="rId6" Type="http://schemas.openxmlformats.org/officeDocument/2006/relationships/hyperlink" Target="consultantplus://offline/ref=A876BCBC83046C668EBEB74A033AF9191D93EEE4AD12EEBF5BB6FA41EBE1DFD482E64054D7BF843E6DB5G" TargetMode="External"/><Relationship Id="rId7" Type="http://schemas.openxmlformats.org/officeDocument/2006/relationships/hyperlink" Target="consultantplus://offline/ref=03D8955179EE2A764FCFF4F6CC0E77FF60B0A7E61B69AC8801E6948C66B4tCG" TargetMode="External"/><Relationship Id="rId8" Type="http://schemas.openxmlformats.org/officeDocument/2006/relationships/theme" Target="theme/theme1.xml"/><Relationship Id="rId9" Type="http://schemas.openxmlformats.org/officeDocument/2006/relationships/header" Target="header1.xml"/><Relationship Id="rId10" Type="http://schemas.openxmlformats.org/officeDocument/2006/relationships/footnotes" Target="footnotes.xml"/><Relationship Id="rId11" Type="http://schemas.openxmlformats.org/officeDocument/2006/relationships/endnotes" Target="endnotes.xml"/><Relationship Id="rId12" Type="http://schemas.openxmlformats.org/officeDocument/2006/relationships/numbering" Target="numbering.xml"/><Relationship Id="rId13" Type="http://schemas.openxmlformats.org/officeDocument/2006/relationships/styles" Target="styles.xml"/><Relationship Id="rId14" Type="http://schemas.openxmlformats.org/officeDocument/2006/relationships/fontTable" Target="fontTable.xml"/><Relationship Id="rId17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211</TotalTime>
  <Pages>2</Pages>
  <Words>724</Words>
  <Characters>4131</Characters>
  <CharactersWithSpaces>4846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                                проект</dc:title>
  <dc:creator>kumi</dc:creator>
</cp:coreProperties>
</file>