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10" Type="http://schemas.openxmlformats.org/officeDocument/2006/relationships/extended-properties" Target="docProps/app.xml"/><Relationship Id="rId11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 xmlns:a="http://schemas.openxmlformats.org/drawingml/2006/main">
  <w:body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0"/>
        </w:rPr>
      </w:pPr>
      <w:r>
        <w:pict>
          <v:shape id="_x0000_s1025" type="#_x0000_t75" style="width:56pt;height:74pt;mso-position-horizontal:absolute;mso-position-horizontal-relative:char;mso-position-vertical:absolute;mso-position-vertical-relative:line;z-index:251658240" o:allowincell="true" filled="f" stroked="f">
            <v:imagedata r:id="rId2" cropleft="0f" croptop="0f" cropright="0f" cropbottom="0f" o:title=""/>
          </v:shape>
        </w:pict>
      </w:r>
    </w:p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8"/>
        </w:rPr>
      </w:pP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Совет депутатов муниципального образования </w:t>
      </w: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Пикалевское городское поселение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Бокситогорского муниципального района Ленинградской области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b w:val="true"/>
          <w:spacing w:val="20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spacing w:val="60"/>
          <w:rFonts w:ascii="Times New Roman" w:eastAsia="Times New Roman" w:hAnsi="Times New Roman" w:cs="Times New Roman"/>
          <w:sz w:val="34"/>
        </w:rPr>
      </w:pPr>
      <w:r>
        <w:rPr>
          <w:b w:val="true"/>
          <w:spacing w:val="60"/>
          <w:rFonts w:ascii="Times New Roman" w:eastAsia="Times New Roman" w:hAnsi="Times New Roman" w:cs="Times New Roman"/>
          <w:sz w:val="34"/>
        </w:rPr>
        <w:t xml:space="preserve">РЕШЕНИЕ</w:t>
      </w:r>
    </w:p>
    <w:p>
      <w:pPr>
        <w:jc w:val="center"/>
        <w:textAlignment w:val="auto"/>
        <w:ind w:left="0" w:right="-141" w:start="0" w:end="-141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17 июня 2024 года № 26</w:t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  <w:color w:val="000000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  <w:color w:val="000000"/>
        </w:rPr>
      </w:pPr>
      <w:r>
        <w:rPr>
          <w:b w:val="true"/>
          <w:rFonts w:ascii="Times New Roman" w:eastAsia="Times New Roman" w:hAnsi="Times New Roman" w:cs="Times New Roman"/>
          <w:sz w:val="28"/>
          <w:color w:val="000000"/>
        </w:rPr>
        <w:t xml:space="preserve">О внесении изменений в решение Совета депутатов Пикалевского городского поселения от 16 сентября 2021 года № 54 «Об утверждении Порядка выдвижения, внесения, обсуждения и рассмотрения инициативных проектов в Пикалевском городском поселении»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В целях реализации областного закона Ленинградской области от 16 февраля 2024 года №10-оз «О содействии участию населения в осуществлении местного самоуправления в Ленинградской области», Совет депутатов Пикалевского городского поселения решил: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numPr>
          <w:ilvl w:val="0"/>
          <w:numId w:val="1"/>
        </w:numPr>
        <w:rPr>
          <w:b w:val="false"/>
          <w:rFonts w:ascii="Times New Roman" w:eastAsia="Times New Roman" w:hAnsi="Times New Roman" w:cs="Times New Roman"/>
          <w:sz w:val="28"/>
          <w:color w:val="000000"/>
        </w:rPr>
      </w:pPr>
      <w:r>
        <w:rPr>
          <w:b w:val="false"/>
          <w:rFonts w:ascii="Times New Roman" w:eastAsia="Times New Roman" w:hAnsi="Times New Roman" w:cs="Times New Roman"/>
          <w:sz w:val="28"/>
          <w:color w:val="000000"/>
        </w:rPr>
        <w:t xml:space="preserve">Внести следующие изменения в решение Совета депутатов Пикалевского городского поселения от 16 сентября 2021 года №54 «Об утверждении Порядка выдвижения, внесения, обсуждения и рассмотрения инициативных проектов в Пикалевском городском поселении» и Порядок выдвижения, внесения, обсуждения и рассмотрения инициативных проектов в Пикалевском городском поселении (приложение), (далее-Порядок):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numPr>
          <w:ilvl w:val="1"/>
          <w:numId w:val="1"/>
        </w:numPr>
        <w:rPr>
          <w:b w:val="false"/>
          <w:rFonts w:ascii="Times New Roman" w:eastAsia="Times New Roman" w:hAnsi="Times New Roman" w:cs="Times New Roman"/>
          <w:sz w:val="28"/>
          <w:color w:val="000000"/>
        </w:rPr>
      </w:pPr>
      <w:r>
        <w:rPr>
          <w:b w:val="false"/>
          <w:rFonts w:ascii="Times New Roman" w:eastAsia="Times New Roman" w:hAnsi="Times New Roman" w:cs="Times New Roman"/>
          <w:sz w:val="28"/>
          <w:color w:val="000000"/>
        </w:rPr>
        <w:t xml:space="preserve">В части 1.1 раздела 1 Порядка после слов «за их реализацией» дополнить словами «, а также с участием граждан и юридических лиц в реализации инициативных проектов»;</w:t>
      </w:r>
    </w:p>
    <w:p>
      <w:pPr>
        <w:jc w:val="both"/>
        <w:textAlignment w:val="auto"/>
        <w:ind w:hanging="720" w:left="1429" w:right="0" w:start="1429" w:end="0"/>
        <w:adjustRightInd w:val="true"/>
        <w:spacing w:after="0" w:line="240"/>
        <w:bidi w:val="false"/>
        <w:numPr>
          <w:ilvl w:val="1"/>
          <w:numId w:val="1"/>
        </w:numPr>
        <w:rPr>
          <w:b w:val="false"/>
          <w:rFonts w:ascii="Times New Roman" w:eastAsia="Times New Roman" w:hAnsi="Times New Roman" w:cs="Times New Roman"/>
          <w:sz w:val="28"/>
          <w:color w:val="000000"/>
        </w:rPr>
      </w:pPr>
      <w:r>
        <w:rPr>
          <w:b w:val="false"/>
          <w:rFonts w:ascii="Times New Roman" w:eastAsia="Times New Roman" w:hAnsi="Times New Roman" w:cs="Times New Roman"/>
          <w:sz w:val="28"/>
          <w:color w:val="000000"/>
        </w:rPr>
        <w:t xml:space="preserve">Часть 1.2 раздела 1 Порядка изложить в следующей редакции: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  <w:color w:val="000000"/>
        </w:rPr>
      </w:pPr>
      <w:r>
        <w:rPr>
          <w:b w:val="false"/>
          <w:rFonts w:ascii="Times New Roman" w:eastAsia="Times New Roman" w:hAnsi="Times New Roman" w:cs="Times New Roman"/>
          <w:sz w:val="28"/>
          <w:color w:val="000000"/>
        </w:rPr>
        <w:t xml:space="preserve">«1.2.  К отношениям, связанным с выдвижением, внесением, обсуждением, рассмотрением, отбором и реализацией инициативных проектов, выдвигаемых для получения финансовой поддержки за счет межбюджетных трансфертов из бюджета Ленинградской области, а также с участием граждан и юридических лиц в их реализации, положения настоящего порядка не применяются, если иное не предусмотрено законом и (или) иным правовым актом Ленинградской области и принятыми в соответствии с ними решениями Совета депутатов Пикалевского городского поселения.»;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numPr>
          <w:ilvl w:val="1"/>
          <w:numId w:val="1"/>
        </w:numPr>
        <w:rPr>
          <w:b w:val="false"/>
          <w:rFonts w:ascii="Times New Roman" w:eastAsia="Times New Roman" w:hAnsi="Times New Roman" w:cs="Times New Roman"/>
          <w:sz w:val="28"/>
          <w:color w:val="000000"/>
        </w:rPr>
      </w:pPr>
      <w:r>
        <w:rPr>
          <w:b w:val="false"/>
          <w:rFonts w:ascii="Times New Roman" w:eastAsia="Times New Roman" w:hAnsi="Times New Roman" w:cs="Times New Roman"/>
          <w:sz w:val="28"/>
          <w:color w:val="000000"/>
        </w:rPr>
        <w:t xml:space="preserve">Пункты 11-16 части 3.1 раздела 3 Порядка считать соответственно пунктами 1-6;</w:t>
      </w:r>
    </w:p>
    <w:p>
      <w:pPr>
        <w:jc w:val="both"/>
        <w:textAlignment w:val="auto"/>
        <w:ind w:hanging="720" w:left="1429" w:right="0" w:start="1429" w:end="0"/>
        <w:adjustRightInd w:val="true"/>
        <w:spacing w:after="0" w:line="240"/>
        <w:bidi w:val="false"/>
        <w:numPr>
          <w:ilvl w:val="1"/>
          <w:numId w:val="1"/>
        </w:numPr>
        <w:rPr>
          <w:b w:val="false"/>
          <w:rFonts w:ascii="Times New Roman" w:eastAsia="Times New Roman" w:hAnsi="Times New Roman" w:cs="Times New Roman"/>
          <w:sz w:val="28"/>
          <w:color w:val="000000"/>
        </w:rPr>
      </w:pPr>
      <w:r>
        <w:rPr>
          <w:b w:val="false"/>
          <w:rFonts w:ascii="Times New Roman" w:eastAsia="Times New Roman" w:hAnsi="Times New Roman" w:cs="Times New Roman"/>
          <w:sz w:val="28"/>
          <w:color w:val="000000"/>
        </w:rPr>
        <w:t xml:space="preserve">Пункт 3 части 4.1 раздела 4 Порядка признать утратившим силу;</w:t>
      </w:r>
    </w:p>
    <w:p>
      <w:pPr>
        <w:jc w:val="both"/>
        <w:textAlignment w:val="auto"/>
        <w:ind w:hanging="720" w:left="1429" w:right="0" w:start="1429" w:end="0"/>
        <w:adjustRightInd w:val="true"/>
        <w:spacing w:after="0" w:line="240"/>
        <w:bidi w:val="false"/>
        <w:numPr>
          <w:ilvl w:val="1"/>
          <w:numId w:val="1"/>
        </w:numPr>
        <w:rPr>
          <w:b w:val="false"/>
          <w:rFonts w:ascii="Times New Roman" w:eastAsia="Times New Roman" w:hAnsi="Times New Roman" w:cs="Times New Roman"/>
          <w:sz w:val="28"/>
          <w:color w:val="000000"/>
        </w:rPr>
      </w:pPr>
      <w:r>
        <w:rPr>
          <w:b w:val="false"/>
          <w:rFonts w:ascii="Times New Roman" w:eastAsia="Times New Roman" w:hAnsi="Times New Roman" w:cs="Times New Roman"/>
          <w:sz w:val="28"/>
          <w:color w:val="000000"/>
        </w:rPr>
        <w:t xml:space="preserve">Раздел 6 Порядка признать утратившим силу;</w:t>
      </w:r>
    </w:p>
    <w:p>
      <w:pPr>
        <w:jc w:val="both"/>
        <w:textAlignment w:val="auto"/>
        <w:ind w:hanging="720" w:left="1429" w:right="0" w:start="1429" w:end="0"/>
        <w:adjustRightInd w:val="true"/>
        <w:spacing w:after="0" w:line="240"/>
        <w:bidi w:val="false"/>
        <w:numPr>
          <w:ilvl w:val="1"/>
          <w:numId w:val="1"/>
        </w:numPr>
        <w:rPr>
          <w:b w:val="false"/>
          <w:rFonts w:ascii="Times New Roman" w:eastAsia="Times New Roman" w:hAnsi="Times New Roman" w:cs="Times New Roman"/>
          <w:sz w:val="28"/>
          <w:color w:val="000000"/>
        </w:rPr>
      </w:pPr>
      <w:r>
        <w:rPr>
          <w:b w:val="false"/>
          <w:rFonts w:ascii="Times New Roman" w:eastAsia="Times New Roman" w:hAnsi="Times New Roman" w:cs="Times New Roman"/>
          <w:sz w:val="28"/>
          <w:color w:val="000000"/>
        </w:rPr>
        <w:t xml:space="preserve">Часть 10.1 раздела 10 Порядка изложить в следующей редакции: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  <w:color w:val="000000"/>
        </w:rPr>
      </w:pPr>
      <w:r>
        <w:rPr>
          <w:b w:val="false"/>
          <w:rFonts w:ascii="Times New Roman" w:eastAsia="Times New Roman" w:hAnsi="Times New Roman" w:cs="Times New Roman"/>
          <w:sz w:val="28"/>
          <w:color w:val="000000"/>
        </w:rPr>
        <w:t xml:space="preserve">«10.1. При внесении инициативного проекта в администрацию представляются: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numPr>
          <w:ilvl w:val="0"/>
          <w:numId w:val="2"/>
        </w:numPr>
        <w:rPr>
          <w:b w:val="false"/>
          <w:rFonts w:ascii="Times New Roman" w:eastAsia="Times New Roman" w:hAnsi="Times New Roman" w:cs="Times New Roman"/>
          <w:sz w:val="28"/>
          <w:color w:val="000000"/>
        </w:rPr>
      </w:pPr>
      <w:r>
        <w:rPr>
          <w:b w:val="false"/>
          <w:rFonts w:ascii="Times New Roman" w:eastAsia="Times New Roman" w:hAnsi="Times New Roman" w:cs="Times New Roman"/>
          <w:sz w:val="28"/>
          <w:color w:val="000000"/>
        </w:rPr>
        <w:t xml:space="preserve">описание проекта на бумажном носителе и (или) в электронной форме, к которому могут прилагаться графические, фото и или) табличные материалы;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numPr>
          <w:ilvl w:val="0"/>
          <w:numId w:val="2"/>
        </w:numPr>
        <w:rPr>
          <w:b w:val="false"/>
          <w:rFonts w:ascii="Times New Roman" w:eastAsia="Times New Roman" w:hAnsi="Times New Roman" w:cs="Times New Roman"/>
          <w:sz w:val="28"/>
          <w:color w:val="000000"/>
        </w:rPr>
      </w:pPr>
      <w:r>
        <w:rPr>
          <w:b w:val="false"/>
          <w:rFonts w:ascii="Times New Roman" w:eastAsia="Times New Roman" w:hAnsi="Times New Roman" w:cs="Times New Roman"/>
          <w:sz w:val="28"/>
          <w:color w:val="000000"/>
        </w:rPr>
        <w:t xml:space="preserve"> расчет и обоснование расходов на реализацию инициативного проекта (смета, коммерческие предложения или иные подтверждающие документы);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numPr>
          <w:ilvl w:val="0"/>
          <w:numId w:val="2"/>
        </w:numPr>
        <w:rPr>
          <w:b w:val="false"/>
          <w:rFonts w:ascii="Times New Roman" w:eastAsia="Times New Roman" w:hAnsi="Times New Roman" w:cs="Times New Roman"/>
          <w:sz w:val="28"/>
          <w:color w:val="000000"/>
        </w:rPr>
      </w:pPr>
      <w:r>
        <w:rPr>
          <w:b w:val="false"/>
          <w:rFonts w:ascii="Times New Roman" w:eastAsia="Times New Roman" w:hAnsi="Times New Roman" w:cs="Times New Roman"/>
          <w:sz w:val="28"/>
          <w:color w:val="000000"/>
        </w:rPr>
        <w:t xml:space="preserve">гарантийное письмо, подписанное инициатором проекта (представителем инициатора), содержащее обязательства о финансовом и (или) имущественном и (или) трудовом участии в реализации инициативного проекта;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numPr>
          <w:ilvl w:val="0"/>
          <w:numId w:val="2"/>
        </w:numPr>
        <w:rPr>
          <w:b w:val="false"/>
          <w:rFonts w:ascii="Times New Roman" w:eastAsia="Times New Roman" w:hAnsi="Times New Roman" w:cs="Times New Roman"/>
          <w:sz w:val="28"/>
          <w:color w:val="000000"/>
        </w:rPr>
      </w:pPr>
      <w:r>
        <w:rPr>
          <w:b w:val="false"/>
          <w:rFonts w:ascii="Times New Roman" w:eastAsia="Times New Roman" w:hAnsi="Times New Roman" w:cs="Times New Roman"/>
          <w:sz w:val="28"/>
          <w:color w:val="000000"/>
        </w:rPr>
        <w:t xml:space="preserve">протокол создания инициативной группы или иные документы в соответствии с частями 4.4, 4.5 настоящего Порядка, а также решение инициатора проекта об определении лиц, уполномоченных от его имени взаимодействовать с администрацией при рассмотрении и реализации инициативного проекта;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numPr>
          <w:ilvl w:val="0"/>
          <w:numId w:val="2"/>
        </w:numPr>
        <w:rPr>
          <w:b w:val="false"/>
          <w:rFonts w:ascii="Times New Roman" w:eastAsia="Times New Roman" w:hAnsi="Times New Roman" w:cs="Times New Roman"/>
          <w:sz w:val="28"/>
        </w:rPr>
      </w:pPr>
      <w:r>
        <w:rPr>
          <w:b w:val="false"/>
          <w:rFonts w:ascii="Times New Roman" w:eastAsia="Times New Roman" w:hAnsi="Times New Roman" w:cs="Times New Roman"/>
          <w:sz w:val="28"/>
          <w:color w:val="000000"/>
        </w:rPr>
        <w:t xml:space="preserve">Протокол собрания или конференции граждан, результаты опроса граждан и (или) подписные листы, подтверждающие поддержку инициативного проекта жителями Пикалевского городского поселения или его части.».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numPr>
          <w:ilvl w:val="0"/>
          <w:numId w:val="1"/>
        </w:numPr>
        <w:rPr>
          <w:b w:val="false"/>
          <w:rFonts w:ascii="Times New Roman" w:eastAsia="Times New Roman" w:hAnsi="Times New Roman" w:cs="Times New Roman"/>
          <w:sz w:val="28"/>
        </w:rPr>
      </w:pPr>
      <w:r>
        <w:rPr>
          <w:b w:val="false"/>
          <w:rFonts w:ascii="Times New Roman" w:eastAsia="Times New Roman" w:hAnsi="Times New Roman" w:cs="Times New Roman"/>
          <w:sz w:val="28"/>
        </w:rPr>
        <w:t xml:space="preserve">Настоящее решение подлежит опубликованию в газете «Рабочее слово» и размещению на официальном сайте Пикалевского городского поселения.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numPr>
          <w:ilvl w:val="0"/>
          <w:numId w:val="1"/>
        </w:numPr>
        <w:rPr>
          <w:b w:val="false"/>
          <w:rFonts w:ascii="Times New Roman" w:eastAsia="Times New Roman" w:hAnsi="Times New Roman" w:cs="Times New Roman"/>
          <w:sz w:val="28"/>
        </w:rPr>
      </w:pPr>
      <w:r>
        <w:rPr>
          <w:b w:val="false"/>
          <w:rFonts w:ascii="Times New Roman" w:eastAsia="Times New Roman" w:hAnsi="Times New Roman" w:cs="Times New Roman"/>
          <w:sz w:val="28"/>
        </w:rPr>
        <w:t xml:space="preserve">Настоящее решение вступает в силу после официального опубликования.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</w:rPr>
      </w:pPr>
      <w:r>
        <w:rPr>
          <w:b w:val="false"/>
          <w:rFonts w:ascii="Times New Roman" w:eastAsia="Times New Roman" w:hAnsi="Times New Roman" w:cs="Times New Roman"/>
          <w:sz w:val="28"/>
        </w:rPr>
        <w:t xml:space="preserve">Глава Пикалевского городского поселения                                          Л.И. Гришкина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Arial" w:eastAsia="Arial" w:hAnsi="Arial" w:cs="Arial"/>
          <w:sz w:val="22"/>
        </w:rPr>
      </w:pPr>
    </w:p>
    <w:sectPr>
      <w:cols w:num="1" w:space="708" w:equalWidth="true"/>
      <w:footnotePr>
        <w:pos w:val="pageBottom"/>
      </w:footnotePr>
      <w:lnNumType w:distance="0"/>
      <w:pgSz w:w="11906" w:h="16838"/>
      <w:pgMar w:left="1418" w:right="567" w:top="1134" w:bottom="1134" w:gutter="0" w:header="709" w:footer="709"/>
      <w:titlePg/>
      <w:headerReference w:type="default" r:id="rId4"/>
    </w:sectPr>
  </w:body>
</w:document>
</file>

<file path=word/endnotes.xml><?xml version="1.0" encoding="utf-8"?>
<w:end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end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separator/>
      </w:r>
    </w:p>
  </w:endnote>
  <w:end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separator/>
      </w:r>
    </w:p>
  </w:endnote>
</w:endnotes>
</file>

<file path=word/fontTable.xml><?xml version="1.0" encoding="utf-8"?>
<w:fonts xmlns:w="http://schemas.openxmlformats.org/wordprocessingml/2006/main">
  <w:font w:name="Times New Roman">
    <w:altName w:val="Times New Roman"/>
    <w:panose1 w:val="02020603050405020304"/>
    <w:family w:val="roman"/>
    <w:charset w:val="CC"/>
    <w:pitch w:val="variable"/>
  </w:font>
  <w:font w:name="Arial">
    <w:altName w:val="Arial"/>
    <w:panose1 w:val="020b0604020202020204"/>
    <w:family w:val="swiss"/>
    <w:charset w:val="CC"/>
    <w:pitch w:val="variable"/>
  </w:font>
  <w:font w:name="Cambria Math">
    <w:panose1 w:val="02040503050406030204"/>
    <w:family w:val="roman"/>
    <w:charset w:val="CC"/>
    <w:pitch w:val="variable"/>
  </w:font>
  <w:font w:name="Segoe UI">
    <w:panose1 w:val="020b0502040204020203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 Light">
    <w:panose1 w:val="020f03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">
    <w:panose1 w:val="020f05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Arial">
    <w:altName w:val="Arial"/>
    <w:family w:val="swiss"/>
    <w:charset w:val="00"/>
    <w:pitch w:val="variable"/>
  </w:font>
  <w:font w:name="Arial CE">
    <w:altName w:val="Arial"/>
    <w:family w:val="swiss"/>
    <w:charset w:val="EE"/>
    <w:pitch w:val="variable"/>
  </w:font>
  <w:font w:name="Arial Greek">
    <w:altName w:val="Arial"/>
    <w:family w:val="swiss"/>
    <w:charset w:val="A1"/>
    <w:pitch w:val="variable"/>
  </w:font>
  <w:font w:name="Arial Tur">
    <w:altName w:val="Arial"/>
    <w:family w:val="swiss"/>
    <w:charset w:val="A2"/>
    <w:pitch w:val="variable"/>
  </w:font>
  <w:font w:name="Arial (Hebrew)">
    <w:altName w:val="Arial"/>
    <w:family w:val="swiss"/>
    <w:charset w:val="B1"/>
    <w:pitch w:val="variable"/>
  </w:font>
  <w:font w:name="Arial (Arabic)">
    <w:altName w:val="Arial"/>
    <w:family w:val="swiss"/>
    <w:charset w:val="B2"/>
    <w:pitch w:val="variable"/>
  </w:font>
  <w:font w:name="Arial Baltic">
    <w:altName w:val="Arial"/>
    <w:family w:val="swiss"/>
    <w:charset w:val="BA"/>
    <w:pitch w:val="variable"/>
  </w:font>
  <w:font w:name="Arial (Vietnamese)">
    <w:altName w:val="Arial"/>
    <w:family w:val="swiss"/>
    <w:charset w:val="A3"/>
    <w:pitch w:val="variable"/>
  </w:font>
  <w:font w:name="Cambria Math">
    <w:family w:val="roman"/>
    <w:charset w:val="00"/>
    <w:pitch w:val="variable"/>
  </w:font>
  <w:font w:name="Cambria Math CE">
    <w:family w:val="roman"/>
    <w:charset w:val="EE"/>
    <w:pitch w:val="variable"/>
  </w:font>
  <w:font w:name="Cambria Math Greek">
    <w:family w:val="roman"/>
    <w:charset w:val="A1"/>
    <w:pitch w:val="variable"/>
  </w:font>
  <w:font w:name="Cambria Math Tur">
    <w:family w:val="roman"/>
    <w:charset w:val="A2"/>
    <w:pitch w:val="variable"/>
  </w:font>
  <w:font w:name="Cambria Math Baltic">
    <w:family w:val="roman"/>
    <w:charset w:val="BA"/>
    <w:pitch w:val="variable"/>
  </w:font>
  <w:font w:name="Cambria Math (Vietnamese)">
    <w:family w:val="roman"/>
    <w:charset w:val="A3"/>
    <w:pitch w:val="variable"/>
  </w:font>
  <w:font w:name="Segoe UI">
    <w:family w:val="swiss"/>
    <w:charset w:val="00"/>
    <w:pitch w:val="variable"/>
  </w:font>
  <w:font w:name="Segoe UI CE">
    <w:family w:val="swiss"/>
    <w:charset w:val="EE"/>
    <w:pitch w:val="variable"/>
  </w:font>
  <w:font w:name="Segoe UI Greek">
    <w:family w:val="swiss"/>
    <w:charset w:val="A1"/>
    <w:pitch w:val="variable"/>
  </w:font>
  <w:font w:name="Segoe UI Tur">
    <w:family w:val="swiss"/>
    <w:charset w:val="A2"/>
    <w:pitch w:val="variable"/>
  </w:font>
  <w:font w:name="Segoe UI (Hebrew)">
    <w:family w:val="swiss"/>
    <w:charset w:val="B1"/>
    <w:pitch w:val="variable"/>
  </w:font>
  <w:font w:name="Segoe UI (Arabic)">
    <w:family w:val="swiss"/>
    <w:charset w:val="B2"/>
    <w:pitch w:val="variable"/>
  </w:font>
  <w:font w:name="Segoe UI Baltic">
    <w:family w:val="swiss"/>
    <w:charset w:val="BA"/>
    <w:pitch w:val="variable"/>
  </w:font>
  <w:font w:name="Segoe UI (Vietnamese)"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 Light">
    <w:family w:val="swiss"/>
    <w:charset w:val="00"/>
    <w:pitch w:val="variable"/>
  </w:font>
  <w:font w:name="Calibri Light CE">
    <w:family w:val="swiss"/>
    <w:charset w:val="EE"/>
    <w:pitch w:val="variable"/>
  </w:font>
  <w:font w:name="Calibri Light Greek">
    <w:family w:val="swiss"/>
    <w:charset w:val="A1"/>
    <w:pitch w:val="variable"/>
  </w:font>
  <w:font w:name="Calibri Light Tur">
    <w:family w:val="swiss"/>
    <w:charset w:val="A2"/>
    <w:pitch w:val="variable"/>
  </w:font>
  <w:font w:name="Calibri Light (Hebrew)">
    <w:family w:val="swiss"/>
    <w:charset w:val="B1"/>
    <w:pitch w:val="variable"/>
  </w:font>
  <w:font w:name="Calibri Light (Arabic)">
    <w:family w:val="swiss"/>
    <w:charset w:val="B2"/>
    <w:pitch w:val="variable"/>
  </w:font>
  <w:font w:name="Calibri Light Baltic">
    <w:family w:val="swiss"/>
    <w:charset w:val="BA"/>
    <w:pitch w:val="variable"/>
  </w:font>
  <w:font w:name="Calibri Light (Vietnamese)"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">
    <w:family w:val="swiss"/>
    <w:charset w:val="00"/>
    <w:pitch w:val="variable"/>
  </w:font>
  <w:font w:name="Calibri CE">
    <w:family w:val="swiss"/>
    <w:charset w:val="EE"/>
    <w:pitch w:val="variable"/>
  </w:font>
  <w:font w:name="Calibri Greek">
    <w:family w:val="swiss"/>
    <w:charset w:val="A1"/>
    <w:pitch w:val="variable"/>
  </w:font>
  <w:font w:name="Calibri Tur">
    <w:family w:val="swiss"/>
    <w:charset w:val="A2"/>
    <w:pitch w:val="variable"/>
  </w:font>
  <w:font w:name="Calibri (Hebrew)">
    <w:family w:val="swiss"/>
    <w:charset w:val="B1"/>
    <w:pitch w:val="variable"/>
  </w:font>
  <w:font w:name="Calibri (Arabic)">
    <w:family w:val="swiss"/>
    <w:charset w:val="B2"/>
    <w:pitch w:val="variable"/>
  </w:font>
  <w:font w:name="Calibri Baltic">
    <w:family w:val="swiss"/>
    <w:charset w:val="BA"/>
    <w:pitch w:val="variable"/>
  </w:font>
  <w:font w:name="Calibri (Vietnamese)"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</w:fonts>
</file>

<file path=word/footnotes.xml><?xml version="1.0" encoding="utf-8"?>
<w:foot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foot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separator/>
      </w:r>
    </w:p>
  </w:footnote>
  <w:foot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textAlignment w:val="auto"/>
      <w:ind w:left="0" w:right="0" w:start="0" w:end="0"/>
      <w:adjustRightInd w:val="true"/>
      <w:spacing w:after="0" w:line="240"/>
      <w:bidi w:val="false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0"/>
      </w:rPr>
    </w:pPr>
    <w:fldSimple w:instr="PAGE   \* MERGEFORMAT">
      <w:r>
        <w:rPr>
          <w:rFonts w:ascii="Times New Roman" w:eastAsia="Times New Roman" w:hAnsi="Times New Roman" w:cs="Times New Roman"/>
          <w:sz w:val="20"/>
        </w:rPr>
        <w:t xml:space="preserve">2</w:t>
      </w:r>
    </w:fldSimple>
  </w:p>
  <w:p>
    <w:pPr>
      <w:jc w:val="left"/>
      <w:textAlignment w:val="auto"/>
      <w:ind w:left="0" w:right="0" w:start="0" w:end="0"/>
      <w:adjustRightInd w:val="true"/>
      <w:spacing w:after="0" w:line="240"/>
      <w:bidi w:val="false"/>
      <w:tabs>
        <w:tab w:val="center" w:pos="4677"/>
        <w:tab w:val="right" w:pos="9355"/>
      </w:tabs>
      <w:rPr>
        <w:rFonts w:ascii="Arial" w:eastAsia="Arial" w:hAnsi="Arial" w:cs="Arial"/>
        <w:sz w:val="18"/>
      </w:rPr>
    </w:pPr>
  </w:p>
</w:hdr>
</file>

<file path=word/numbering.xml><?xml version="1.0" encoding="utf-8"?>
<w:numbering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>
  <w:abstractNum w:abstractNumId="780958379">
    <w:multiLevelType w:val="multilevel"/>
    <w:tmpl w:val="ed6278f6"/>
    <w:lvl w:ilvl="0">
      <w:lvlJc w:val="left"/>
      <w:lvlText w:val="%1."/>
      <w:numFmt w:val="decimal"/>
      <w:start w:val="1"/>
      <w:suff w:val="tab"/>
      <w:pPr>
        <w:ind w:hanging="360" w:left="1069" w:start="1069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1"/>
      <w:suff w:val="tab"/>
      <w:pPr>
        <w:ind w:hanging="720" w:left="1429" w:start="1429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720" w:left="1429" w:start="1429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1080" w:left="1789" w:start="1789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1080" w:left="1789" w:start="1789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1440" w:left="2149" w:start="2149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800" w:left="2509" w:start="2509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800" w:left="2509" w:start="2509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2160" w:left="2869" w:start="2869"/>
      </w:pPr>
      <w:rPr>
        <w:rFonts w:ascii="Times New Roman" w:eastAsia="Times New Roman" w:hAnsi="Times New Roman" w:cs="Times New Roman"/>
        <w:sz w:val="24"/>
      </w:rPr>
    </w:lvl>
  </w:abstractNum>
  <w:abstractNum w:abstractNumId="1509755744">
    <w:multiLevelType w:val="hybridMultilevel"/>
    <w:tmpl w:val="1b726014"/>
    <w:lvl w:ilvl="0">
      <w:lvlJc w:val="left"/>
      <w:lvlText w:val="%1)"/>
      <w:numFmt w:val="decimal"/>
      <w:start w:val="1"/>
      <w:suff w:val="tab"/>
      <w:pPr>
        <w:ind w:hanging="360" w:left="1069" w:start="1069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789" w:start="1789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509" w:start="2509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229" w:start="3229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949" w:start="3949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669" w:start="4669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389" w:start="5389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109" w:start="6109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829" w:start="6829"/>
      </w:pPr>
      <w:rPr>
        <w:rFonts w:ascii="Times New Roman" w:eastAsia="Times New Roman" w:hAnsi="Times New Roman" w:cs="Times New Roman"/>
        <w:sz w:val="24"/>
      </w:rPr>
    </w:lvl>
  </w:abstractNum>
  <w:num w:numId="1">
    <w:abstractNumId w:val="780958379"/>
  </w:num>
  <w:num w:numId="2">
    <w:abstractNumId w:val="1509755744"/>
  </w:num>
</w:numbering>
</file>

<file path=word/settings.xml><?xml version="1.0" encoding="utf-8"?>
<w:settings xmlns:w="http://schemas.openxmlformats.org/wordprocessingml/2006/main" xmlns:m="http://schemas.openxmlformats.org/officeDocument/2006/math">
  <w:zoom w:percent="100"/>
  <w:defaultTabStop w:val="708"/>
  <w:characterSpacingControl xmlns:w="http://schemas.openxmlformats.org/wordprocessingml/2006/main" w:val="doNotCompress"/>
  <w:compat xmlns:w="http://schemas.openxmlformats.org/wordprocessingml/2006/main"/>
  <m:mathPr>
    <m:mathFont m:val="Cambria Math"/>
    <m:brkBin m:val="before"/>
    <m:brkBinSub m:val="--"/>
    <m:smallFrac w:val="0"/>
    <m:dispDef w:val="1"/>
    <m:lMargin w:val="0"/>
    <m:rMargin w:val="0"/>
    <m:defJc m:val="centerGroup"/>
    <m:wrapIndent w:val="1440"/>
    <m:intLim xmlns:m="http://schemas.openxmlformats.org/officeDocument/2006/math" m:val="subSup"/>
    <m:naryLim m:val="undOvr"/>
  </m:mathPr>
  <w:themeFontLang xmlns:w="http://schemas.openxmlformats.org/wordprocessingml/2006/main" w:val="ru-RU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hapeDefaults xmlns:w="http://schemas.openxmlformats.org/wordprocessingml/2006/main">
    <o:shapedefaults xmlns:o="urn:schemas-microsoft-com:office:office" xmlns:v="urn:schemas-microsoft-com:vml" v:ext="edit" spidmax="2050"/>
    <o:shapelayout xmlns:o="urn:schemas-microsoft-com:office:office" xmlns:v="urn:schemas-microsoft-com:vml" v:ext="edit">
      <o:idmap v:ext="edit" data="1"/>
    </o:shapelayout>
  </w:shapeDefaults>
  <w:decimalSymbol xmlns:w="http://schemas.openxmlformats.org/wordprocessingml/2006/main" w:val=","/>
  <w:listSeparator xmlns:w="http://schemas.openxmlformats.org/wordprocessingml/2006/main" w:val=";"/>
  <w:bordersDoNotSurroundHeader xmlns:w="http://schemas.openxmlformats.org/wordprocessingml/2006/main" w:val="false"/>
  <w:bordersDoNotSurroundFooter xmlns:w="http://schemas.openxmlformats.org/wordprocessingml/2006/main" w:val="false"/>
  <w:footnotePr xmlns:w="http://schemas.openxmlformats.org/wordprocessingml/2006/main">
    <w:footnote w:id="0"/>
    <w:footnote w:id="1"/>
    <w:pos w:val="pageBottom"/>
  </w:footnotePr>
  <w:endnotePr xmlns:w="http://schemas.openxmlformats.org/wordprocessingml/2006/main">
    <w:endnote w:id="0"/>
    <w:endnote w:id="1"/>
    <w:pos w:val="docEnd"/>
  </w:endnotePr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theme" Target="theme/theme1.xml"/><Relationship Id="rId4" Type="http://schemas.openxmlformats.org/officeDocument/2006/relationships/header" Target="header1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numbering" Target="numbering.xml"/><Relationship Id="rId8" Type="http://schemas.openxmlformats.org/officeDocument/2006/relationships/styles" Target="styles.xml"/><Relationship Id="rId9" Type="http://schemas.openxmlformats.org/officeDocument/2006/relationships/fontTable" Target="fontTable.xml"/><Relationship Id="rId1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07/7/7/main" val="1F497D" mc:Ignorable=""/>
      </a:dk2>
      <a:lt2>
        <a:srgbClr xmlns:mc="http://schemas.openxmlformats.org/markup-compatibility/2006" xmlns:a14="http://schemas.microsoft.com/office/drawing/2007/7/7/main" val="EEECE1" mc:Ignorable=""/>
      </a:lt2>
      <a:accent1>
        <a:srgbClr xmlns:mc="http://schemas.openxmlformats.org/markup-compatibility/2006" xmlns:a14="http://schemas.microsoft.com/office/drawing/2007/7/7/main" val="4F81BD" mc:Ignorable=""/>
      </a:accent1>
      <a:accent2>
        <a:srgbClr xmlns:mc="http://schemas.openxmlformats.org/markup-compatibility/2006" xmlns:a14="http://schemas.microsoft.com/office/drawing/2007/7/7/main" val="C0504D" mc:Ignorable=""/>
      </a:accent2>
      <a:accent3>
        <a:srgbClr xmlns:mc="http://schemas.openxmlformats.org/markup-compatibility/2006" xmlns:a14="http://schemas.microsoft.com/office/drawing/2007/7/7/main" val="9BBB59" mc:Ignorable=""/>
      </a:accent3>
      <a:accent4>
        <a:srgbClr xmlns:mc="http://schemas.openxmlformats.org/markup-compatibility/2006" xmlns:a14="http://schemas.microsoft.com/office/drawing/2007/7/7/main" val="8064A2" mc:Ignorable=""/>
      </a:accent4>
      <a:accent5>
        <a:srgbClr xmlns:mc="http://schemas.openxmlformats.org/markup-compatibility/2006" xmlns:a14="http://schemas.microsoft.com/office/drawing/2007/7/7/main" val="4BACC6" mc:Ignorable=""/>
      </a:accent5>
      <a:accent6>
        <a:srgbClr xmlns:mc="http://schemas.openxmlformats.org/markup-compatibility/2006" xmlns:a14="http://schemas.microsoft.com/office/drawing/2007/7/7/main" val="F79646" mc:Ignorable=""/>
      </a:accent6>
      <a:hlink>
        <a:srgbClr xmlns:mc="http://schemas.openxmlformats.org/markup-compatibility/2006" xmlns:a14="http://schemas.microsoft.com/office/drawing/2007/7/7/main" val="0000FF" mc:Ignorable=""/>
      </a:hlink>
      <a:folHlink>
        <a:srgbClr xmlns:mc="http://schemas.openxmlformats.org/markup-compatibility/2006" xmlns:a14="http://schemas.microsoft.com/office/drawing/2007/7/7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07/7/7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otalTime>3</TotalTime>
  <Pages>2</Pages>
  <Words>508</Words>
  <Characters>2899</Characters>
  <CharactersWithSpaces>3401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</cp:coreProperties>
</file>