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Relationship Id="rId11" Type="http://schemas.openxmlformats.org/officeDocument/2006/relationships/extended-properties" Target="docProps/app.xml"/><Relationship Id="rId1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 xmlns:a="http://schemas.openxmlformats.org/drawingml/2006/main">
  <w:body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0"/>
          <w:position w:val="0"/>
        </w:rPr>
      </w:pPr>
      <w:r>
        <w:pict>
          <v:shape id="_x0000_s1025" type="#_x0000_t75" style="width:56pt;height:74pt;mso-position-horizontal:absolute;mso-position-horizontal-relative:char;mso-position-vertical:absolute;mso-position-vertical-relative:line;z-index:251658240" o:allowincell="true" filled="f" stroked="f">
            <v:imagedata r:id="rId2" cropleft="0f" croptop="0f" cropright="0f" cropbottom="0f" o:title=""/>
          </v:shape>
        </w:pict>
      </w:r>
    </w:p>
    <w:p>
      <w:pPr>
        <w:jc w:val="center"/>
        <w:textAlignment w:val="auto"/>
        <w:ind w:left="0" w:right="0" w:start="0" w:end="0"/>
        <w:spacing w:after="0" w:line="240"/>
        <w:bidi w:val="false"/>
        <w:tabs>
          <w:tab w:val="left" w:pos="1134"/>
          <w:tab w:val="left" w:pos="1276"/>
        </w:tabs>
        <w:rPr>
          <w:rFonts w:ascii="Arial" w:eastAsia="Arial" w:hAnsi="Arial" w:cs="Arial"/>
          <w:sz w:val="28"/>
          <w:position w:val="0"/>
        </w:rPr>
      </w:pP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  <w:position w:val="0"/>
        </w:rPr>
        <w:t xml:space="preserve">Совет депутатов муниципального образования </w:t>
      </w:r>
    </w:p>
    <w:p>
      <w:pPr>
        <w:outlineLvl w:val="0"/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  <w:position w:val="0"/>
        </w:rPr>
        <w:t xml:space="preserve">Пикалевское городское поселение</w:t>
      </w:r>
    </w:p>
    <w:p>
      <w:pPr>
        <w:jc w:val="center"/>
        <w:textAlignment w:val="auto"/>
        <w:ind w:left="0" w:right="0" w:start="0" w:end="0"/>
        <w:spacing w:after="0" w:line="240"/>
        <w:bidi w:val="false"/>
        <w:rPr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  <w:position w:val="0"/>
        </w:rPr>
        <w:t xml:space="preserve">Бокситогорского муниципального района Ленинградской области</w:t>
      </w:r>
    </w:p>
    <w:p>
      <w:pPr>
        <w:jc w:val="left"/>
        <w:textAlignment w:val="auto"/>
        <w:ind w:left="0" w:right="0" w:start="0" w:end="0"/>
        <w:spacing w:after="0" w:line="240"/>
        <w:bidi w:val="false"/>
        <w:rPr>
          <w:b w:val="true"/>
          <w:spacing w:val="20"/>
          <w:rFonts w:ascii="Times New Roman" w:eastAsia="Times New Roman" w:hAnsi="Times New Roman" w:cs="Times New Roman"/>
          <w:sz w:val="28"/>
          <w:position w:val="0"/>
        </w:rPr>
      </w:pPr>
    </w:p>
    <w:p>
      <w:pPr>
        <w:jc w:val="center"/>
        <w:textAlignment w:val="auto"/>
        <w:ind w:left="0" w:right="0" w:start="0" w:end="0"/>
        <w:spacing w:after="0" w:line="240"/>
        <w:bidi w:val="false"/>
        <w:rPr>
          <w:b w:val="true"/>
          <w:spacing w:val="60"/>
          <w:rFonts w:ascii="Times New Roman" w:eastAsia="Times New Roman" w:hAnsi="Times New Roman" w:cs="Times New Roman"/>
          <w:sz w:val="34"/>
          <w:position w:val="0"/>
        </w:rPr>
      </w:pPr>
      <w:r>
        <w:rPr>
          <w:b w:val="true"/>
          <w:spacing w:val="60"/>
          <w:rFonts w:ascii="Times New Roman" w:eastAsia="Times New Roman" w:hAnsi="Times New Roman" w:cs="Times New Roman"/>
          <w:sz w:val="34"/>
          <w:position w:val="0"/>
        </w:rPr>
        <w:t xml:space="preserve">РЕШЕНИЕ</w:t>
      </w:r>
    </w:p>
    <w:p>
      <w:pPr>
        <w:jc w:val="center"/>
        <w:textAlignment w:val="auto"/>
        <w:ind w:left="0" w:right="-141" w:start="0" w:end="-141"/>
        <w:spacing w:after="0" w:line="240"/>
        <w:bidi w:val="false"/>
        <w:rPr>
          <w:rFonts w:ascii="Times New Roman" w:eastAsia="Times New Roman" w:hAnsi="Times New Roman" w:cs="Times New Roman"/>
          <w:sz w:val="28"/>
          <w:position w:val="0"/>
        </w:rPr>
      </w:pP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от 16 мая 2024 года № 22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</w:rPr>
        <w:t xml:space="preserve">Об исполнении бюджета Пикалевского городского поселения за 2023 год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Рассмотрев итоги исполнения бюджета Пикалевского городского поселения за 2023 год, в соответствии со статьей 264.6 Бюджетного кодекса Российской Федерации Совет депутатов Пикалевского городского поселения решил: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</w:rPr>
        <w:t xml:space="preserve">1. Утвердить отчет об исполнении бюджета Пикалевского городского поселения за 2023 год по доходам в сумме 478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674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761,39 рублей, по расходам в сумме 485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434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764,68 рублей с дефицитом в сумме 6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760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003,29 рублей</w:t>
      </w:r>
      <w:r>
        <w:rPr>
          <w:rFonts w:ascii="Times New Roman" w:eastAsia="Times New Roman" w:hAnsi="Times New Roman" w:cs="Times New Roman"/>
          <w:sz w:val="28"/>
          <w:position w:val="0"/>
        </w:rPr>
        <w:t xml:space="preserve"> со следующими показателями:</w:t>
      </w:r>
    </w:p>
    <w:p>
      <w:pPr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доходов бюджета Пикалевского городского поселения по кодам классификации доходов бюджетов за 2023 год согласно приложению 1;</w:t>
      </w:r>
    </w:p>
    <w:p>
      <w:pPr>
        <w:jc w:val="both"/>
        <w:textAlignment w:val="auto"/>
        <w:ind w:left="0" w:right="113" w:start="0" w:end="113"/>
        <w:adjustRightInd w:val="true"/>
        <w:spacing w:after="0" w:line="240"/>
        <w:bidi w:val="false"/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расходов бюджета Пикалевского городского поселения по ведомственной структуре расходов бюджета Пикалевского городского поселения за 2023 год согласно приложению 2;</w:t>
      </w:r>
    </w:p>
    <w:p>
      <w:pPr>
        <w:jc w:val="both"/>
        <w:textAlignment w:val="auto"/>
        <w:ind w:firstLine="709" w:left="0" w:right="113" w:start="0" w:end="113"/>
        <w:adjustRightInd w:val="true"/>
        <w:spacing w:after="0" w:line="240"/>
        <w:bidi w:val="false"/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расходов бюджета Пикалевского городского поселения по разделам и подразделам классификации расходов бюджетов за 2023 год согласно приложению 3;</w:t>
      </w:r>
    </w:p>
    <w:p>
      <w:pPr>
        <w:jc w:val="both"/>
        <w:textAlignment w:val="auto"/>
        <w:ind w:firstLine="709" w:left="0" w:right="113" w:start="0" w:end="113"/>
        <w:adjustRightInd w:val="true"/>
        <w:spacing w:after="0" w:line="240"/>
        <w:bidi w:val="false"/>
        <w:tabs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источников финансирования дефицита бюджета Пикалевского городского поселения по кодам классификации источников финансирования дефицитов бюджетов за 2023 год согласно приложению 4.</w:t>
      </w:r>
    </w:p>
    <w:p>
      <w:pPr>
        <w:keepLines w:val="true"/>
        <w:outlineLvl w:val="4"/>
        <w:jc w:val="both"/>
        <w:textAlignment w:val="auto"/>
        <w:ind w:firstLine="709" w:left="0" w:right="0" w:start="0" w:end="0"/>
        <w:adjustRightInd w:val="true"/>
        <w:spacing w:after="0" w:line="240"/>
        <w:bidi w:val="false"/>
        <w:tabs>
          <w:tab w:val="left" w:pos="0"/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2. Решение подлежит опубликованию в газете «Рабочее слово» и размещению на официальном сайте муниципального образования.</w:t>
      </w:r>
    </w:p>
    <w:p>
      <w:pPr>
        <w:keepLines w:val="true"/>
        <w:outlineLvl w:val="4"/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0"/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outlineLvl w:val="4"/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0"/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</w:p>
    <w:p>
      <w:pPr>
        <w:keepLines w:val="true"/>
        <w:outlineLvl w:val="4"/>
        <w:jc w:val="both"/>
        <w:textAlignment w:val="auto"/>
        <w:ind w:left="0" w:right="0" w:start="0" w:end="0"/>
        <w:adjustRightInd w:val="true"/>
        <w:spacing w:after="0" w:line="240"/>
        <w:bidi w:val="false"/>
        <w:tabs>
          <w:tab w:val="left" w:pos="0"/>
          <w:tab w:val="left" w:pos="709"/>
          <w:tab w:val="left" w:pos="993"/>
        </w:tabs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Глава Пикалевского городского поселения                                          Л.И. Гришкина </w:t>
      </w: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ff0000"/>
        </w:rPr>
      </w:pPr>
    </w:p>
    <w:p>
      <w:pPr>
        <w:keepLines w:val="true"/>
        <w:keepNext w:val="true"/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  <w:sectPr>
          <w:cols w:num="1" w:space="708" w:equalWidth="true"/>
          <w:footnotePr>
            <w:pos w:val="pageBottom"/>
          </w:footnotePr>
          <w:lnNumType w:distance="0"/>
          <w:pgSz w:w="11906" w:h="16838"/>
          <w:pgMar w:left="1418" w:right="567" w:top="1134" w:bottom="567" w:gutter="0" w:header="709" w:footer="709"/>
          <w:titlePg/>
          <w:headerReference w:type="default" r:id="rId3"/>
        </w:sect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УТВЕРЖДЕНЫ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решением Совета депутатов 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Пикалевского городского поселения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</w:rPr>
        <w:t xml:space="preserve">от 16 мая 2024 № 22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br w:type="textWrapping" w:clear="none"/>
      </w:r>
      <w:r>
        <w:rPr>
          <w:rFonts w:ascii="Times New Roman" w:eastAsia="Times New Roman" w:hAnsi="Times New Roman" w:cs="Times New Roman"/>
          <w:sz w:val="28"/>
        </w:rPr>
        <w:t xml:space="preserve">(приложение 1)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position w:val="0"/>
        </w:rPr>
      </w:pPr>
      <w:r>
        <w:rPr>
          <w:b w:val="true"/>
          <w:rFonts w:ascii="Times New Roman" w:eastAsia="Times New Roman" w:hAnsi="Times New Roman" w:cs="Times New Roman"/>
          <w:sz w:val="28"/>
          <w:position w:val="0"/>
        </w:rPr>
        <w:t xml:space="preserve">Показатели исполнения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position w:val="0"/>
        </w:rPr>
      </w:pPr>
      <w:r>
        <w:rPr>
          <w:b w:val="true"/>
          <w:rFonts w:ascii="Times New Roman" w:eastAsia="Times New Roman" w:hAnsi="Times New Roman" w:cs="Times New Roman"/>
          <w:sz w:val="28"/>
          <w:position w:val="0"/>
        </w:rPr>
        <w:t xml:space="preserve">доходов бюджета Пикалевского городского поселения по кодам классификации доходов бюджетов за 2023 год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position w:val="0"/>
        </w:rPr>
      </w:pPr>
    </w:p>
    <w:tbl>
      <w:tblPr>
        <w:tblLayout w:type="fixed"/>
        <w:tblInd w:w="-459" w:type="dxa"/>
        <w:tblW w:w="15310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9781"/>
        <w:gridCol w:w="3544"/>
        <w:gridCol w:w="1985"/>
      </w:tblGrid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Наименование показателя</w:t>
            </w:r>
          </w:p>
        </w:tc>
        <w:tc>
          <w:tcPr>
            <w:tcW w:type="dxa" w:w="354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 классификации           доходов бюджета</w:t>
            </w:r>
          </w:p>
        </w:tc>
        <w:tc>
          <w:tcPr>
            <w:tcW w:type="dxa" w:w="198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Сумма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(руб.)</w:t>
            </w:r>
          </w:p>
        </w:tc>
      </w:tr>
      <w:tr>
        <w:trPr>
          <w:trHeight w:val="119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</w:t>
            </w:r>
          </w:p>
        </w:tc>
        <w:tc>
          <w:tcPr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</w:t>
            </w:r>
          </w:p>
        </w:tc>
        <w:tc>
          <w:tcPr>
            <w:tcW w:type="dxa" w:w="198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ДОХОДЫ, ВСЕГО</w:t>
            </w:r>
          </w:p>
        </w:tc>
        <w:tc>
          <w:tcPr>
            <w:tcW w:type="dxa" w:w="354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0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0"/>
                <w:color w:val="000000"/>
              </w:rPr>
              <w:t xml:space="preserve"> </w:t>
            </w:r>
          </w:p>
        </w:tc>
        <w:tc>
          <w:tcPr>
            <w:tcW w:type="dxa" w:w="1985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478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674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761,39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НАЛОГОВЫЕ И НЕНАЛОГОВЫЕ ДОХОДЫ</w:t>
            </w:r>
          </w:p>
        </w:tc>
        <w:tc>
          <w:tcPr>
            <w:tcW w:type="dxa" w:w="3544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000  1  00  00000  00  0000  000</w:t>
            </w:r>
          </w:p>
        </w:tc>
        <w:tc>
          <w:tcPr>
            <w:tcW w:type="dxa" w:w="1985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175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553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289,48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Администрация Пикалевского городского поселения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012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371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156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922,75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НАЛОГОВЫЕ И НЕНАЛОГОВЫЕ ДОХОДЫ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012  1  00  00000  00  0000  000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035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450,84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Государственная пошлина за выдачу органом местного самоуправления поселения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грузов, зачисляемая в бюджеты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012  1  08  07175  01  0000  110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012  1  11  05013  13  0000  120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477,11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012  1  11  05025  13  0000  120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523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429,80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сдачи в аренду имущества, находящегося в оперативном управлении органов управления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012  1  11  05035  13  0000  120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850,56</w:t>
            </w:r>
          </w:p>
        </w:tc>
      </w:tr>
      <w:tr>
        <w:trPr>
          <w:trHeight w:val="602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сдачи в аренду имущества, составляющего казну городских поселений (за исключением земельных участков) 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012  1  11  05075  13  0000  120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431,28</w:t>
            </w:r>
          </w:p>
        </w:tc>
      </w:tr>
      <w:tr>
        <w:trPr>
          <w:trHeight w:val="602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перечисления части прибыли, остающейся после уплаты налогов и иных обязательных платежей муниципальных унитарных предприятий, созданных городскими поселениями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012  1  11  07015  13  0000  120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269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312,77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012  1  11  09045  13  0000  120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108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835,62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012  1  13  01995  13  0000  130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634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989,04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Доходы, поступающие в порядке возмещения расходов, понесенных в связи м эксплуатацией имущества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012  1  13  02065  13  0000  130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599,09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доходы от компенсации затрат бюджетов городских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012  1  13  02995  13  0000  130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153,60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реализации иного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012  1  14  02053  13  0000  410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309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657,93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012  1  14  06013  13  0000  430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328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112,81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продажи земельных участков, находящихся в собственности городских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012  1  14  06025  13  0000  430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626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910,40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012   1  16  07010  13  0000 140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455,92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012   1  16  07090  13  0000 140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43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631,41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Прочее возмещение ущерба, причиненного муниципальному имуществу городского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012   1  16  10032  01  0000 140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067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282,00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Платежи, уплачиваемые в целях возмещения вреда, причиняемого автомобильным дорогам местного значения транспортными средствами, осуществляющими перевозки тяжеловесных и (или) крупногабаритных грузов 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012   1  16  11064  01  0000 140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485,20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Невыясненные поступления, зачисляемые в бюджеты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012   1  17  01050  13  0000 180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996,30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неналоговые доходы бюджетов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012   1  17  05050  13  0000 180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840,00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БЕЗВОЗМЕЗДНЫЕ ПОСТУПЛЕНИЯ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012  2  00  00000  00  0000  000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303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121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</w:rPr>
              <w:t xml:space="preserve">471,91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012  2  02  16001 13  0000  150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077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800,00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Субсидии бюджетам городских поселений на осуществление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государственной корпорации – Фонда содействия реформированию жилищно-коммунального хозяйства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012  2  02  20299  13  0000 150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755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229,47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Субсидии бюджетам городских поселений на реализацию программ формирования современной городской среды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012  2  02  25555  13  0000  150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субсидии бюджетам городских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012  2  02  29999  13  0000  150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312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963,95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012  2  02  30024  13  0000  150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453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140,00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012  2  02  35118  13  0000  150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258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200,00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Межбюджетные трансферты, передаваемые бюджетам на создание комфортной городской среды в малых городах и исторических поселениях – победителях Всероссийского конкурса лучших проектов создания комфортной городской среды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012  2  02  45424  13  0000  150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000,00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межбюджетные трансферты, передаваемые бюджетам городских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012  2  02  49999  13  0000  150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276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721,56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Прочие безвозмездные поступления в бюджеты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012  2  07  05030  13  0000  150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012  2  19  60010  13  0000  150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-12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583,07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Федеральная налоговая служба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182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107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517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</w:rPr>
              <w:t xml:space="preserve">838,64</w:t>
            </w:r>
          </w:p>
        </w:tc>
      </w:tr>
      <w:tr>
        <w:trPr>
          <w:trHeight w:val="1239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182  1  01  02010  01  0000  110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331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873,57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182  1  01  02020  01  0000  110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490,36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182  1  01  02030  01  0000  110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684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392,39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доходы физических лиц в части суммы налога, превышающей 650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 рублей, относящейся к части налоговой базы, превышающей 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182  1  01  02080  01  0000  110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344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775,16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не превышающей 650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 рублей)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182  1  01  02130  01  0000  110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319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661,42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доходы физических лиц в отношении доходов от долевого участия в организации, полученных в виде дивидендов (в части суммы налога, превышающей 650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 рублей)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182  1  01  02140  01  0000  110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017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000,92</w:t>
            </w:r>
          </w:p>
        </w:tc>
      </w:tr>
      <w:tr>
        <w:trPr>
          <w:trHeight w:val="641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уплаты акцизов на дизельное топливо, подлежащее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182  1  03  02230  01  0000  110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748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894,36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182  1  03  02240  01  0000  110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134,29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182  1  03  02250  01  0000  110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807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618,73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182  1  03  02260  01  0000  110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-190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410,30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Единый сельскохозяйственный налог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182  1  05  03010  01  0000  110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highlight w:val="yellow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750,00</w:t>
            </w:r>
          </w:p>
        </w:tc>
      </w:tr>
      <w:tr>
        <w:trPr>
          <w:trHeight w:val="300" w:hRule="atLeast"/>
        </w:trPr>
        <w:tc>
          <w:tcPr>
            <w:tcW w:type="dxa" w:w="9781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noWrap w:val="true"/>
            <w:tcW w:type="dxa" w:w="354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182  1  06  01030  13  0000  110</w:t>
            </w:r>
          </w:p>
        </w:tc>
        <w:tc>
          <w:tcPr>
            <w:tcW w:type="dxa" w:w="1985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3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582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111,68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Земельный налог с организаций, обладающих земельным участком, расположенным  в границах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182  1  06  06033  13  0000  110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747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693,40</w:t>
            </w:r>
          </w:p>
        </w:tc>
      </w:tr>
      <w:tr>
        <w:trPr>
          <w:trHeight w:val="300" w:hRule="atLeast"/>
        </w:trPr>
        <w:tc>
          <w:tcPr>
            <w:tcW w:type="dxa" w:w="9781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noWrap w:val="true"/>
            <w:tcW w:type="dxa" w:w="3544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182  1  06  06043  13  0000  110</w:t>
            </w:r>
          </w:p>
        </w:tc>
        <w:tc>
          <w:tcPr>
            <w:tcW w:type="dxa" w:w="1985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975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</w:rPr>
              <w:t xml:space="preserve">852,66</w:t>
            </w:r>
          </w:p>
        </w:tc>
      </w:tr>
    </w:tbl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УТВЕРЖДЕНЫ                                                                                                                                    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решением Совета депутатов                                                                              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Пикалевского городского поселения</w:t>
      </w:r>
    </w:p>
    <w:p>
      <w:pPr>
        <w:jc w:val="righ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</w:rPr>
        <w:t xml:space="preserve">от 16 мая 2024 № 22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br w:type="textWrapping" w:clear="none"/>
      </w:r>
      <w:r>
        <w:rPr>
          <w:rFonts w:ascii="Times New Roman" w:eastAsia="Times New Roman" w:hAnsi="Times New Roman" w:cs="Times New Roman"/>
          <w:sz w:val="28"/>
        </w:rPr>
        <w:t xml:space="preserve">(приложение 2)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2394"/>
        </w:tabs>
        <w:rPr>
          <w:rFonts w:ascii="Times New Roman" w:eastAsia="Times New Roman" w:hAnsi="Times New Roman" w:cs="Times New Roman"/>
          <w:sz w:val="28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  <w:position w:val="0"/>
        </w:rPr>
        <w:t xml:space="preserve">Показатели исполнения расходов бюджета Пикалевского городского поселения 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tabs>
          <w:tab w:val="left" w:pos="2394"/>
        </w:tabs>
        <w:rPr>
          <w:b w:val="true"/>
          <w:rFonts w:ascii="Times New Roman" w:eastAsia="Times New Roman" w:hAnsi="Times New Roman" w:cs="Times New Roman"/>
          <w:sz w:val="28"/>
          <w:color w:val="000000"/>
          <w:position w:val="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  <w:position w:val="0"/>
        </w:rPr>
        <w:t xml:space="preserve">по ведомственной структуре расходов бюджета Пикалевского городского поселения за 2023 год</w:t>
      </w:r>
    </w:p>
    <w:tbl>
      <w:tblPr>
        <w:tblLayout w:type="autofit"/>
        <w:tblInd w:w="142" w:type="dxa"/>
        <w:tblW w:w="15025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5245"/>
        <w:gridCol w:w="1847"/>
        <w:gridCol w:w="1080"/>
        <w:gridCol w:w="1429"/>
        <w:gridCol w:w="1893"/>
        <w:gridCol w:w="1367"/>
        <w:gridCol w:w="2164"/>
      </w:tblGrid>
      <w:tr>
        <w:trPr>
          <w:trHeight w:val="435" w:hRule="atLeast"/>
        </w:trPr>
        <w:tc>
          <w:tcPr>
            <w:tcW w:type="dxa" w:w="5245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руб.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080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429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Наименование 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 главного распорядителя средств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 раздела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 подраздела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 целевой статьи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 вида расходов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Сумма, руб.</w:t>
            </w:r>
          </w:p>
        </w:tc>
      </w:tr>
      <w:tr>
        <w:trPr>
          <w:trHeight w:val="435" w:hRule="atLeast"/>
        </w:trPr>
        <w:tc>
          <w:tcPr>
            <w:noWrap w:val="true"/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ВСЕГО:</w:t>
            </w:r>
          </w:p>
        </w:tc>
        <w:tc>
          <w:tcPr>
            <w:noWrap w:val="true"/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187" w:start="0" w:end="187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485 434 764,68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Совет депутатов муниципального образования Пикалевское городское поселение Бокситогорского муниципального района Ленинградской области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621 173,00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ОБЩЕГОСУДАРСТВЕННЫЕ ВОПРОСЫ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621 173,00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621 173,00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bookmarkStart w:id="1" w:name="RANGE!A10:G11"/>
            <w:bookmarkStart w:id="2" w:name="RANGE!A10"/>
            <w:bookmarkEnd w:id="1"/>
            <w:bookmarkEnd w:id="2"/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 «Межбюджетные отношения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межбюджетных трансфертов бюджету муниципального района из бюджета поселения на расходы по осуществлению внешнего муниципального финансового контроля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28401П7010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28401П7010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28401П7010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612 573,00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П000000000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8 600,00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8 600,00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совета депутатов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8 600,00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8 600,00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5 100,00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5 100,00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5 100,00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Премирование и награждение юридических и физических лиц по решению совета депутатов поселения и вне системы оплаты труда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3 500,00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3 500,00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3 500,00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П110100190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Администрация муниципального образования Пикалевское городское поселение Бокситогорского муниципального района Ленинградской области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484 813 591,68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ОБЩЕГОСУДАРСТВЕННЫЕ ВОПРОСЫ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68 839 833,01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35 956 843,69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3 824 955,00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2 453 140,00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2 453 140,00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2 453 140,00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Выполнение отдельных государственных полномочий в сфере профилактики безнадзорности и правонарушений несовершеннолетних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2 446 100,00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2 397 547,42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2 397 547,42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48 552,58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48 552,58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Выполнение отдельных государственных полномочий Ленинградской области в сфере административных правоотношений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7 040,00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7 040,00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2440171340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7 040,00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«Управление муниципальными финансами и муниципальным долгом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1 371 815,00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1 371 815,00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 «Межбюджетные отношения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1 371 815,00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межбюджетных трансфертов бюджету муниципального района из бюджета поселения по исполнению (кассовому) бюджета поселения и контроля за его исполнением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28401П7040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900 800,00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28401П7040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900 800,00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28401П7040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900 800,00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межбюджетных трансфертов бюджету муниципального района из бюджета поселения на осуществление муниципального жилищного контроля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28401П7120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471 015,00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28401П7120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471 015,00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28401П7120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471 015,00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П000000000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32 131 888,69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32 131 888,69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главы администрации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П120000000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2 208 290,37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П120100000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2 208 290,37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П120100150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2 208 290,37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П120100150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2 208 290,37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П120100150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520 941,40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П120100150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1 687 348,97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администрации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П130000000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29 923 598,32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29 923 598,32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Исполнение функций органов местного самоуправления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29 923 598,32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29 235 769,17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6 777 219,18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22 458 549,99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686 529,15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686 529,15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1 300,00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П130100150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1 300,00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Резервные фонды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Резервный фонд администрации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Резервный фонд администрации муниципального образования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П140111110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П140111110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П140111110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общегосударственные вопросы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32 882 989,32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32 882 989,32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30 260 651,19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30 260 651,19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«Управление муниципальной собственностью»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16 748 785,59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Владение, пользование и распоряжение муниципальной собственностью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2240111030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16 748 785,59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2240111030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5 989 757,43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2240111030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5 989 757,43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2240111030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10 759 028,16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2240111030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10 759 028,16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«Административно-хозяйственное обеспечение деятельности органов местного самоуправления и подведомственных учреждений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13 511 865,60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13 395 365,60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7 361 216,99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7 361 216,99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5 950 280,61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5 950 280,61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83 868,00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2240400160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83 868,00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Исполнение судебных актов, вступивших в законную силу по искам к муниципальным образованиям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2240413010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116 500,00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2240413010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116 500,00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2240413010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116 500,00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2 622 338,13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2 622 338,13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«Развитие информационного общества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2 622 338,13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Ежегодные членские взносы в Ассоциацию муниципальных образований и фонды, связанные с развитием муниципальных образований Ленинградской области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2640113030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75 086,40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2640113030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75 086,40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2640113030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75 086,40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Размещение муниципальных правовых актов и их проектов о деятельности органов местного самоуправления Пикалевское городское поселение в СМИ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2640115010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1 110 725,40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2640115010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1 110 725,40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2640115010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1 110 725,40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Организация освещения в средствах массовой информации актуальных вопросов и событий политической, общественной, экономической, культурной и спортивной жизни города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2640115020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1 436 526,33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2640115020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1 436 526,33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2640115020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1 436 526,33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П000000000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Выполнение других обязательств муниципального образования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обеспечение деятельности муниципальных казенных учреждений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П160100160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П160100160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П160100160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НАЦИОНАЛЬНАЯ ОБОРОНА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1 543 594,00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Мобилизационная и вневойсковая подготовка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1 543 594,00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1 258 200,00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1 258 200,00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1 258 200,00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«Обеспечение воинского учёта»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1 258 200,00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2440251180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1 258 200,00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2440251180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1 088 510,00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2440251180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1 088 510,00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2440251180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169 690,00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2440251180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169 690,00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П000000000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органов местного самоуправления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Выполнение других обязательств муниципального образования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Непрограммные расходы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по исполнению муниципальных функций органов местного самоуправления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П160113620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П160113620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П160113620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285 394,00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5 175 521,17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Гражданская оборона</w:t>
            </w:r>
          </w:p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защите населения в области гражданской обороны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1 840 758,71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441 666,00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441 666,00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441 666,00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441 666,00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441 666,00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мер по противопожарной безопасности территории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2440114654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47 966,00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2440114654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47 966,00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2440114654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47 966,00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в области создания, содержания и организации деятельности аварийно-спасательных служб и (или) аварийно-спасательных формирований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24401П7080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393 700,00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24401П7080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393 700,00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Межбюджетные трансферты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24401П7080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393 700,00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2 893 096,46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2 893 096,46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«Безопасность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2 893 096,46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2 893 096,46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«Защита населения и территории от чрезвычайных ситуаций природного и техногенного характера, гражданская оборона, пожарная безопасность и другие вопросы в области национальной безопасности и правоохранительной деятельности»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2 893 096,46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защиты населения и общественной безопасности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2440111070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2 553 812,84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2440111070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1 594 019,11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2440111070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1 594 019,11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2440111070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959 793,73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2440111070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959 793,73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профилактике терроризма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2440111460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2440111460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2440111460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14 200,00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Реализация мер по обеспечению общественного порядка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2440118040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29 550,00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2440118040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29 550,00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2440118040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29 550,00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обеспечению правопорядка и профилактики правонарушений на территории муниципального образования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24401Б3242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295 533,62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24401Б3242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295 533,62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24401Б3242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295 533,62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НАЦИОНАЛЬНАЯ ЭКОНОМИКА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37 168 927,40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Транспорт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«Развитие транспортного комплекса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«Обеспечение повышения устойчивости функционирующей и доступной для всех слоев населения системы общественного транспорта»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работ по осуществлению регулярных перевозок пассажиров и багажа по регулируемым тарифам на территории муниципального образования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2340114140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2340114140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2340114140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5 349 079,96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Дорожное хозяйство (дорожные фонды)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22 532 069,67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22 532 069,67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«Развитие транспортного комплекса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19 627 565,67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19 627 565,67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«Содержание и ремонт автомобильных дорог общего пользования, ремонт дворовых территорий и проездов к многоквартирным домам»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19 627 565,67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Повышение безопасности дорожного движения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2340211130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1 879 889,98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2340211130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1 879 889,98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2340211130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1 879 889,98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Прочие мероприятия, связанные с ремонтом дорог и дворовых территорий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2340211240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600 680,78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2340211240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600 680,78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2340211240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600 680,78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Содержание сети автомобильных дорог общего пользования местного значения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2340215020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17 146 994,91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2340215020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17 146 994,91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2340215020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17 146 994,91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2 904 504,00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2 904 504,00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«Поддержка местных инициатив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2640400000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2 904 504,00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реализации областного закона от 15.01.2018 № 3-оз «О содействии участию населения в осуществлении местного самоуправления в иных формах на территориях административных центров и городских посёлков муниципальных образований Ленинградской области»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26404S4660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2 904 504,00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26404S4660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2 904 504,00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26404S4660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2 904 504,00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в области национальной экономики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9 287 777,77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9 287 777,77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«Развитие малого и среднего предпринимательства на территории муниципального образования Пикалевское городское поселение Бокситогорского муниципального района Ленинградской области (моногорода)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9 287 777,77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целей проектов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9 287 777,77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цели федерального проекта «Создание условий для легкого старта и комфортного ведения бизнеса»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3 333 333,33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Текущая деятельность бизнес-инкубаторов, на создание которых были предоставлены средства за счет субсидий федерального бюджета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27801S4240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3 333 333,33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27801S4240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3 333 333,33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27801S4240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3 333 333,33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цели федерального проекта «Акселерация субъектов малого и среднего предпринимательства»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2780200000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5 954 444,44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Поддержка субъектов малого и среднего предпринимательства в целях содействия в доступе к финансовым ресурсам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27802S4250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5 954 444,44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27802S4250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5 954 444,44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Иные бюджетные ассигнования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27802S4250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5 954 444,44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ЖИЛИЩНО-КОММУНАЛЬНОЕ ХОЗЯЙСТВО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310 801 269,92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Жилищное хозяйство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9 001 740,13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9 001 740,13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«Управление собственностью, земельными ресурсами и градостроительная деятельность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9 001 740,13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Федеральные проекты, входящие в состав национальных проектов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2210000000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2 781 460,10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221F300000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2 781 460,10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221F367483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2 755 229,47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221F367483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2 755 229,47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221F367483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2 755 229,47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устойчивого сокращения непригодного для проживания жилого фонда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221F36748S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26 230,63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221F36748S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26 230,63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221F36748S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26 230,63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6 220 280,03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«Управление муниципальной собственностью»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5 621 280,03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Формирование фонда капитального ремонта многоквартирных домов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2240111350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5 621 280,03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2240111350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5 621 280,03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2240111350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5 621 280,03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«Обеспечение устойчивого сокращения непригодного для проживания жилищного фонда»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2240300000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599 000,00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переселению граждан из многоквартирных домов, признанных аварийными и подлежащих сносу или реконструкции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2240311360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599 000,00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2240311360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599 000,00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2240311360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599 000,00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Коммунальное хозяйство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127 263 399,41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127 263 399,41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127 263 399,41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123 438 817,87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«Развитие коммунальной и жилищной инфраструктуры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123 438 817,87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ремонту и реконструкции объектов теплоэнергетики, включая проектно-изыскательские работы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2540114730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595 000,00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2540114730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595 000,00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2540114730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595 000,00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Сбор и вывоз твёрдых бытовых и коммунальных отходов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2540116120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16 083,52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2540116120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16 083,52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2540116120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16 083,52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Реализация мероприятий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25401S0160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122 827 734,35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25401S0160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122 827 734,35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25401S0160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122 827 734,35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целей проектов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2580000000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3 824 581,54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цели федерального проекта «Комплексная система обращения с твёрдыми коммунальными отходами»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2580200000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3 824 581,54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созданию мест (площадок) накопления твёрдых коммунальных отходов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25802S4790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3 824 581,54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25802S4790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3 824 581,54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25802S4790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3 824 581,54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Благоустройство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174 536 130,38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174 536 130,38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«Развитие коммунальной, жилищной инфраструктуры и благоустройства, повышение энергоэффективности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19 882 483,77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19 882 483,77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«Благоустройство территории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19 882 483,77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повышение энергетической эффективности систем уличного освещения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2540211060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838 568,00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2540211060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838 568,00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2540211060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598 880,00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2540211060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239 688,00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Санитарная очистка и уличная уборка территории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2540211120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3 718 949,00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2540211120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3 718 949,00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2540211120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3 718 949,00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Техническое обслуживание сетей наружного освещения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2540211140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1 119 130,00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2540211140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1 119 130,00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2540211140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1 119 130,00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Организация уличного освещения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2540216100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9 098 730,91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2540216100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9 098 730,91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2540216100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9 098 730,91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Озеленение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2540216300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3 300 000,00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2540216300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3 300 000,00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2540216300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3 300 000,00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Прочие мероприятия по благоустройству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2540216500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1 807 105,86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2540216500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1 807 105,86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2540216500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1 807 105,86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«Формирование комфортной городской среды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2900000000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154 653 646,61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Федеральные проекты, входящие в состав национальных проектов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2910000000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135 388 074,77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Федеральный проект «Формирование комфортной городской среды»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291F200000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135 388 074,77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291F254240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110 869 009,44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291F254240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110 869 009,44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291F254240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110 869 009,44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Реализация программ формирования современной городской среды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291F255550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24 519 065,33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291F255550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24 519 065,33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291F255550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24 519 065,33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11 622 537,84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«Благоустройство общественных и дворовых территорий «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11 622 537,84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Прочие мероприятия по благоустройству общественных территорий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4 899 697,84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441 700,00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441 700,00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4 457 997,84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4 457 997,84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Прочие мероприятия по благоустройству дворовых территорий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2940111440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30 700,00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Реализация мероприятий формирования комфортной городской среды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2940115550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6 692 140,00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2940115550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6 692 140,00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2940115550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6 692 140,00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целей проектов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2980000000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7 643 034,00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Мероприятия, направленные на достижение цели федерального проекта «Формирование комфортной городской среды»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2980100000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7 643 034,00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Благоустройство дворовых территорий многоквартирных домов г. Пикалево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29801S4750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7 643 034,00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29801S4750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7 643 034,00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29801S4750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7 643 034,00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ОБРАЗОВАНИЕ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721 346,28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«Создание условий для эффективного выполнения функций органов местного самоуправления и подведомственных учреждений»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2640300000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Повышение квалификации, профессиональная подготовка и переподготовка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2640313080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2640313080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2640313080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194 906,00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Молодежная политика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526 440,28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526 440,28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526 440,28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526 440,28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«Молодежная политика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2140300000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526 440,28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Организация занятости детей, подростков и молодежи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2140301190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312 614,28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2140301190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312 614,28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2140301190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312 614,28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Поддержка содействия трудовой адаптации и занятости молодежи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21403S4330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213 826,00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21403S4330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213 826,00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21403S4330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213 826,00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КУЛЬТУРА, КИНЕМАТОГРАФИЯ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34 861 484,54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Культура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34 861 484,54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34 861 484,54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34 861 484,54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34 861 484,54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«Культура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34 861 484,54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16 137 293,31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16 137 293,31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2140100160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16 137 293,31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Укрепление материально-технической базы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2140110490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797 658,65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2140110490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35 812,00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2140110490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35 812,00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2140110490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761 846,65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2140110490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761 846,65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софинансирования дополнительных расходов местных бюджетов на сохранение целевых показателей повышения оплаты труда работников муниципальных учреждений культуры в соответствии с Указом Президента Российской Федерации от 7 мая 2012 года № 597 «О мероприятиях по реализации государственной социальной политики»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21401S0360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16 710 400,00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21401S0360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16 710 400,00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21401S0360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16 710 400,00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дооснащению объектов культуры с целью повышения уровня доступности для инвалидов и других маломобильных групп населения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21401S0930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227 051,58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21401S0930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227 051,58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21401S0930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227 051,58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Мероприятия по развитию общественной инфраструктуры муниципального значения Ленинградской области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21401S4840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989 081,00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21401S4840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989 081,00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21401S4840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989 081,00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СОЦИАЛЬНАЯ ПОЛИТИКА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5 592 232,00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Пенсионное обеспечение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Доплаты к пенсиям муниципальных служащих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2640214910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2640214910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2640214910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5 445 783,00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населения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«Поддержка отдельных категорий граждан Пикалевского городского поселения»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Выплаты почётным гражданам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2640215860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2640215860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и иные выплаты населению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2640215860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76 000,00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в области социальной политики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«Устойчивое общественное развитие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«Поддержка общественной организации ветеранов войны и труда»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2640500000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Субсидии общественным организациям ветеранов войны и труда Бокситогорского муниципального района на финансовое обеспечение затрат в связи с осуществлением уставной деятельности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2640510060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2640510060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2640510060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70 449,00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ФИЗИЧЕСКАЯ КУЛЬТУРА И СПОРТ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0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20 109 383,36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Физическая культура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1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20 109 383,36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Пикалевского городского поселения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2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20 109 383,36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Муниципальная программа «Культура, физическая культура, спорт, молодежная политика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2100000000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3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20 109 383,36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Комплексы процессных мероприятий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2140000000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4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20 109 383,36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Комплекс процессных мероприятий «Физическая культура и спорт в Пикалевском городском поселении»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2140200000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5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20 109 383,36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Обеспечение деятельности (услуги, работы) муниципальных учреждений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17 380 091,00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2140200160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17 380 091,00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2140200160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17 380 091,00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Разработка и прохождение экспертизы проекта на строительство лыжероллерной трассы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2140210111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1 811 553,18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2140210111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1 811 553,18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Капитальные вложения в объекты государственной (муниципальной) собственности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2140210111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1 811 553,18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Укрепление материально-технической базы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2140210490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917 739,18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2140210490</w:t>
            </w:r>
          </w:p>
        </w:tc>
        <w:tc>
          <w:tcPr>
            <w:tcW w:type="dxa" w:w="1367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917 739,18</w:t>
            </w:r>
          </w:p>
        </w:tc>
      </w:tr>
      <w:tr>
        <w:trPr>
          <w:trHeight w:val="435" w:hRule="atLeast"/>
        </w:trPr>
        <w:tc>
          <w:tcPr>
            <w:tcW w:type="dxa" w:w="5245"/>
            <w:hideMark w:val="true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type="dxa" w:w="184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012</w:t>
            </w:r>
          </w:p>
        </w:tc>
        <w:tc>
          <w:tcPr>
            <w:tcW w:type="dxa" w:w="1080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tcW w:type="dxa" w:w="1429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tcW w:type="dxa" w:w="1893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2140210490</w:t>
            </w:r>
          </w:p>
        </w:tc>
        <w:tc>
          <w:tcPr>
            <w:tcW w:type="dxa" w:w="1367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600</w:t>
            </w:r>
          </w:p>
        </w:tc>
        <w:tc>
          <w:tcPr>
            <w:tcW w:type="dxa" w:w="2164"/>
            <w:hideMark w:val="true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outlineLvl w:val="6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917 739,18</w:t>
            </w:r>
          </w:p>
        </w:tc>
      </w:tr>
    </w:tbl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УТВЕРЖДЕНЫ                                                                                                                                    решением Совета депутатов                                                                               Пикалевского городского поселения</w:t>
      </w:r>
    </w:p>
    <w:p>
      <w:pPr>
        <w:jc w:val="right"/>
        <w:textAlignment w:val="auto"/>
        <w:ind w:left="10206" w:right="0" w:start="1020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position w:val="0"/>
        </w:rPr>
      </w:pPr>
      <w:r>
        <w:rPr>
          <w:rFonts w:ascii="Times New Roman" w:eastAsia="Times New Roman" w:hAnsi="Times New Roman" w:cs="Times New Roman"/>
          <w:sz w:val="28"/>
        </w:rPr>
        <w:t xml:space="preserve">от 16 мая 2024 № 22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br w:type="textWrapping" w:clear="none"/>
      </w:r>
      <w:r>
        <w:rPr>
          <w:rFonts w:ascii="Times New Roman" w:eastAsia="Times New Roman" w:hAnsi="Times New Roman" w:cs="Times New Roman"/>
          <w:sz w:val="28"/>
        </w:rPr>
        <w:t xml:space="preserve">(приложение 3)</w:t>
      </w:r>
    </w:p>
    <w:p>
      <w:pPr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color w:val="000000"/>
          <w:position w:val="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  <w:position w:val="0"/>
        </w:rPr>
        <w:t xml:space="preserve">Показатели исполнения расходов бюджета Пикалевского городского поселения </w:t>
      </w:r>
    </w:p>
    <w:p>
      <w:pPr>
        <w:keepLines w:val="true"/>
        <w:keepNext w:val="true"/>
        <w:jc w:val="center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b w:val="true"/>
          <w:rFonts w:ascii="Times New Roman" w:eastAsia="Times New Roman" w:hAnsi="Times New Roman" w:cs="Times New Roman"/>
          <w:sz w:val="28"/>
          <w:color w:val="000000"/>
          <w:position w:val="0"/>
        </w:rPr>
        <w:t xml:space="preserve">по разделам и подразделам классификации расходов бюджетов за 2023 год</w:t>
      </w:r>
    </w:p>
    <w:tbl>
      <w:tblPr>
        <w:tblLayout w:type="fixed"/>
        <w:tblInd w:w="-318" w:type="dxa"/>
        <w:tblW w:w="15168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1058"/>
        <w:gridCol w:w="850"/>
        <w:gridCol w:w="1418"/>
        <w:gridCol w:w="1842"/>
      </w:tblGrid>
      <w:tr>
        <w:trPr>
          <w:trHeight w:val="270" w:hRule="atLeast"/>
        </w:trPr>
        <w:tc>
          <w:tcPr>
            <w:tcW w:type="dxa" w:w="11058"/>
            <w:tcBorders>
              <w:left w:val="nil"/>
              <w:top w:val="nil"/>
              <w:right w:val="nil"/>
              <w:bottom w:val="nil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850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418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val="nil"/>
              <w:top w:val="nil"/>
              <w:right w:val="nil"/>
              <w:bottom w:val="nil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</w:tr>
      <w:tr>
        <w:trPr>
          <w:trHeight w:val="375" w:hRule="atLeast"/>
        </w:trPr>
        <w:tc>
          <w:tcPr>
            <w:vMerge w:val="restart"/>
            <w:tcW w:type="dxa" w:w="1105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Наименование показателя </w:t>
            </w:r>
          </w:p>
        </w:tc>
        <w:tc>
          <w:tcPr>
            <w:vMerge w:val="restart"/>
            <w:tcW w:type="dxa" w:w="85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-108" w:right="-108" w:start="-108" w:end="-108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Раздел</w:t>
            </w:r>
          </w:p>
        </w:tc>
        <w:tc>
          <w:tcPr>
            <w:vMerge w:val="restart"/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Подраздел</w:t>
            </w:r>
          </w:p>
        </w:tc>
        <w:tc>
          <w:tcPr>
            <w:vMerge w:val="restart"/>
            <w:tcW w:type="dxa" w:w="1842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Исполнено  (руб.)</w:t>
            </w:r>
          </w:p>
        </w:tc>
      </w:tr>
      <w:tr>
        <w:trPr>
          <w:trHeight w:val="375" w:hRule="atLeast"/>
        </w:trPr>
        <w:tc>
          <w:tcPr>
            <w:vMerge w:val="continue"/>
            <w:tcW w:type="dxa" w:w="1105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vMerge w:val="continue"/>
            <w:tcW w:type="dxa" w:w="85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vMerge w:val="continue"/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vMerge w:val="continue"/>
            <w:tcW w:type="dxa" w:w="1842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</w:tr>
      <w:tr>
        <w:trPr>
          <w:trHeight w:val="375" w:hRule="atLeast"/>
        </w:trPr>
        <w:tc>
          <w:tcPr>
            <w:vMerge w:val="continue"/>
            <w:tcW w:type="dxa" w:w="1105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vMerge w:val="continue"/>
            <w:tcW w:type="dxa" w:w="850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vMerge w:val="continue"/>
            <w:tcW w:type="dxa" w:w="1418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vMerge w:val="continue"/>
            <w:tcW w:type="dxa" w:w="1842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</w:tr>
      <w:tr>
        <w:trPr>
          <w:trHeight w:val="182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ВСЕГО РАСХОДОВ</w:t>
            </w:r>
          </w:p>
        </w:tc>
        <w:tc>
          <w:tcPr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</w:p>
        </w:tc>
        <w:tc>
          <w:tcPr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</w:p>
        </w:tc>
        <w:tc>
          <w:tcPr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485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434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764,68</w:t>
            </w:r>
          </w:p>
        </w:tc>
      </w:tr>
      <w:tr>
        <w:trPr>
          <w:trHeight w:val="327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Общегосударственные вопросы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69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461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006,01</w:t>
            </w:r>
          </w:p>
        </w:tc>
      </w:tr>
      <w:tr>
        <w:trPr>
          <w:trHeight w:val="327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621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173,00</w:t>
            </w:r>
          </w:p>
        </w:tc>
      </w:tr>
      <w:tr>
        <w:trPr>
          <w:trHeight w:val="286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35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956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843,69</w:t>
            </w:r>
          </w:p>
        </w:tc>
      </w:tr>
      <w:tr>
        <w:trPr>
          <w:trHeight w:val="268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общегосударственные вопросы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32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882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989,32</w:t>
            </w:r>
          </w:p>
        </w:tc>
      </w:tr>
      <w:tr>
        <w:trPr>
          <w:trHeight w:val="271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Национальная оборона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543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594,00</w:t>
            </w:r>
          </w:p>
        </w:tc>
      </w:tr>
      <w:tr>
        <w:trPr>
          <w:trHeight w:val="262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Мобилизационная и вневойсковая подготовка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543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594,00</w:t>
            </w:r>
          </w:p>
        </w:tc>
      </w:tr>
      <w:tr>
        <w:trPr>
          <w:trHeight w:val="265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Национальная безопасность и правоохранительная деятельность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175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521,17</w:t>
            </w:r>
          </w:p>
        </w:tc>
      </w:tr>
      <w:tr>
        <w:trPr>
          <w:trHeight w:val="128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Гражданская оборона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840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758,71</w:t>
            </w:r>
          </w:p>
        </w:tc>
      </w:tr>
      <w:tr>
        <w:trPr>
          <w:trHeight w:val="128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441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666,00</w:t>
            </w:r>
          </w:p>
        </w:tc>
      </w:tr>
      <w:tr>
        <w:trPr>
          <w:trHeight w:val="128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в области национальной безопасности и правоохранительной деятельности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14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893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096,46</w:t>
            </w:r>
          </w:p>
        </w:tc>
      </w:tr>
      <w:tr>
        <w:trPr>
          <w:trHeight w:val="267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Национальная экономика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37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168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927,40</w:t>
            </w:r>
          </w:p>
        </w:tc>
      </w:tr>
      <w:tr>
        <w:trPr>
          <w:trHeight w:val="258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Транспорт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349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079,96</w:t>
            </w:r>
          </w:p>
        </w:tc>
      </w:tr>
      <w:tr>
        <w:trPr>
          <w:trHeight w:val="248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Дорожное хозяйство (дорожные фонды)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09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22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532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069,67</w:t>
            </w:r>
          </w:p>
        </w:tc>
      </w:tr>
      <w:tr>
        <w:trPr>
          <w:trHeight w:val="252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в области национальной экономики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04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12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287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777,77</w:t>
            </w:r>
          </w:p>
        </w:tc>
      </w:tr>
      <w:tr>
        <w:trPr>
          <w:trHeight w:val="335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Жилищно-коммунальное хозяйство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310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801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269,92</w:t>
            </w:r>
          </w:p>
        </w:tc>
      </w:tr>
      <w:tr>
        <w:trPr>
          <w:trHeight w:val="375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Жилищное хозяйство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740,13</w:t>
            </w:r>
          </w:p>
        </w:tc>
      </w:tr>
      <w:tr>
        <w:trPr>
          <w:trHeight w:val="273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Коммунальное хозяйство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02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127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263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399,41</w:t>
            </w:r>
          </w:p>
        </w:tc>
      </w:tr>
      <w:tr>
        <w:trPr>
          <w:trHeight w:val="276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Благоустройство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174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536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130,38</w:t>
            </w:r>
          </w:p>
        </w:tc>
      </w:tr>
      <w:tr>
        <w:trPr>
          <w:trHeight w:val="284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Образование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721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346,28</w:t>
            </w:r>
          </w:p>
        </w:tc>
      </w:tr>
      <w:tr>
        <w:trPr>
          <w:trHeight w:val="284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Профессиональная подготовка, переподготовка и повышение квалификации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05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194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906,00</w:t>
            </w:r>
          </w:p>
        </w:tc>
      </w:tr>
      <w:tr>
        <w:trPr>
          <w:trHeight w:val="260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Молодежная политика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07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526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440,28</w:t>
            </w:r>
          </w:p>
        </w:tc>
      </w:tr>
      <w:tr>
        <w:trPr>
          <w:trHeight w:val="263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Культура, кинематография 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34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861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484,54</w:t>
            </w:r>
          </w:p>
        </w:tc>
      </w:tr>
      <w:tr>
        <w:trPr>
          <w:trHeight w:val="254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Культура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08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34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861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484,54</w:t>
            </w:r>
          </w:p>
        </w:tc>
      </w:tr>
      <w:tr>
        <w:trPr>
          <w:trHeight w:val="257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Социальная политика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592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232,00</w:t>
            </w:r>
          </w:p>
        </w:tc>
      </w:tr>
      <w:tr>
        <w:trPr>
          <w:trHeight w:val="387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Пенсионное обеспечение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5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445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783,00</w:t>
            </w:r>
          </w:p>
        </w:tc>
      </w:tr>
      <w:tr>
        <w:trPr>
          <w:trHeight w:val="251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Социальное обеспечение населения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03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76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000,00</w:t>
            </w:r>
          </w:p>
        </w:tc>
      </w:tr>
      <w:tr>
        <w:trPr>
          <w:trHeight w:val="251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Другие вопросы в области социальной политики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06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70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449,00</w:t>
            </w:r>
          </w:p>
        </w:tc>
      </w:tr>
      <w:tr>
        <w:trPr>
          <w:trHeight w:val="256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Физическая культура и спорт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20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109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383,36</w:t>
            </w:r>
          </w:p>
        </w:tc>
      </w:tr>
      <w:tr>
        <w:trPr>
          <w:trHeight w:val="245" w:hRule="atLeast"/>
        </w:trPr>
        <w:tc>
          <w:tcPr>
            <w:tcW w:type="dxa" w:w="11058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Физическая культура </w:t>
            </w:r>
          </w:p>
        </w:tc>
        <w:tc>
          <w:tcPr>
            <w:noWrap w:val="true"/>
            <w:tcW w:type="dxa" w:w="850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11</w:t>
            </w:r>
          </w:p>
        </w:tc>
        <w:tc>
          <w:tcPr>
            <w:noWrap w:val="true"/>
            <w:tcW w:type="dxa" w:w="1418"/>
            <w:tcBorders>
              <w:left w:val="nil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01</w:t>
            </w:r>
          </w:p>
        </w:tc>
        <w:tc>
          <w:tcPr>
            <w:noWrap w:val="true"/>
            <w:tcW w:type="dxa" w:w="1842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bottom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20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109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383,36</w:t>
            </w:r>
          </w:p>
        </w:tc>
      </w:tr>
    </w:tbl>
    <w:p>
      <w:pPr>
        <w:jc w:val="right"/>
        <w:textAlignment w:val="auto"/>
        <w:ind w:firstLine="567" w:left="10348" w:right="0" w:start="10348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 w:type="page"/>
      </w:r>
    </w:p>
    <w:p>
      <w:pPr>
        <w:jc w:val="right"/>
        <w:textAlignment w:val="auto"/>
        <w:ind w:firstLine="567" w:left="10348" w:right="0" w:start="10348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УТВЕРЖДЕНЫ                                                                                                                                    решением Совета депутатов                                                                           Пикалевского городского поселения</w:t>
      </w:r>
    </w:p>
    <w:p>
      <w:pPr>
        <w:keepLines w:val="true"/>
        <w:keepNext w:val="true"/>
        <w:jc w:val="right"/>
        <w:textAlignment w:val="auto"/>
        <w:ind w:left="10915" w:right="0" w:start="10915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8"/>
          <w:color w:val="000000"/>
        </w:rPr>
      </w:pPr>
      <w:r>
        <w:rPr>
          <w:rFonts w:ascii="Times New Roman" w:eastAsia="Times New Roman" w:hAnsi="Times New Roman" w:cs="Times New Roman"/>
          <w:sz w:val="28"/>
          <w:color w:val="000000"/>
        </w:rPr>
        <w:t xml:space="preserve">от 16 мая 2024 № 22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color w:val="000000"/>
        </w:rPr>
        <w:br w:type="textWrapping" w:clear="none"/>
      </w:r>
      <w:r>
        <w:rPr>
          <w:rFonts w:ascii="Times New Roman" w:eastAsia="Times New Roman" w:hAnsi="Times New Roman" w:cs="Times New Roman"/>
          <w:sz w:val="28"/>
          <w:color w:val="000000"/>
        </w:rPr>
        <w:t xml:space="preserve">(приложение 4)</w:t>
      </w:r>
    </w:p>
    <w:p>
      <w:pPr>
        <w:keepLines w:val="true"/>
        <w:outlineLvl w:val="4"/>
        <w:jc w:val="left"/>
        <w:textAlignment w:val="auto"/>
        <w:ind w:left="1026" w:right="0" w:start="102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i w:val="true"/>
          <w:color w:val="ff0000"/>
          <w:position w:val="0"/>
        </w:rPr>
      </w:pPr>
    </w:p>
    <w:p>
      <w:pPr>
        <w:keepLines w:val="true"/>
        <w:outlineLvl w:val="4"/>
        <w:jc w:val="center"/>
        <w:textAlignment w:val="auto"/>
        <w:ind w:left="1026" w:right="0" w:start="102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position w:val="0"/>
        </w:rPr>
      </w:pPr>
      <w:r>
        <w:rPr>
          <w:b w:val="true"/>
          <w:rFonts w:ascii="Times New Roman" w:eastAsia="Times New Roman" w:hAnsi="Times New Roman" w:cs="Times New Roman"/>
          <w:sz w:val="28"/>
          <w:position w:val="0"/>
        </w:rPr>
        <w:t xml:space="preserve">Показатели исполнения </w:t>
      </w:r>
    </w:p>
    <w:p>
      <w:pPr>
        <w:keepLines w:val="true"/>
        <w:outlineLvl w:val="4"/>
        <w:jc w:val="center"/>
        <w:textAlignment w:val="auto"/>
        <w:ind w:left="1026" w:right="0" w:start="102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8"/>
          <w:position w:val="0"/>
        </w:rPr>
      </w:pPr>
      <w:r>
        <w:rPr>
          <w:b w:val="true"/>
          <w:rFonts w:ascii="Times New Roman" w:eastAsia="Times New Roman" w:hAnsi="Times New Roman" w:cs="Times New Roman"/>
          <w:sz w:val="28"/>
          <w:position w:val="0"/>
        </w:rPr>
        <w:t xml:space="preserve">источников финансирования дефицита бюджета Пикалевского городского поселения по кодам классификации источников финансирования дефицитов бюджетов за 2023 год</w:t>
      </w:r>
    </w:p>
    <w:p>
      <w:pPr>
        <w:keepLines w:val="true"/>
        <w:outlineLvl w:val="4"/>
        <w:jc w:val="center"/>
        <w:textAlignment w:val="auto"/>
        <w:ind w:left="1026" w:right="0" w:start="1026" w:end="0"/>
        <w:adjustRightInd w:val="true"/>
        <w:spacing w:after="0" w:line="240"/>
        <w:bidi w:val="false"/>
        <w:rPr>
          <w:b w:val="true"/>
          <w:rFonts w:ascii="Times New Roman" w:eastAsia="Times New Roman" w:hAnsi="Times New Roman" w:cs="Times New Roman"/>
          <w:sz w:val="24"/>
          <w:position w:val="0"/>
        </w:rPr>
      </w:pPr>
    </w:p>
    <w:tbl>
      <w:tblPr>
        <w:tblLayout w:type="fixed"/>
        <w:tblInd w:w="-459" w:type="dxa"/>
        <w:tblW w:w="15309" w:type="dxa"/>
        <w:tblCellMar>
          <w:bottom w:w="0" w:type="dxa"/>
          <w:left w:w="108" w:type="dxa"/>
          <w:right w:w="108" w:type="dxa"/>
          <w:top w:w="0" w:type="dxa"/>
        </w:tblCellMar>
        <w:tblBorders>
          <w:left w:sz="0" w:space="0" w:val="nil"/>
          <w:right w:sz="0" w:space="0" w:val="nil"/>
          <w:top w:sz="0" w:space="0" w:val="nil"/>
          <w:bottom w:sz="0" w:space="0" w:val="nil"/>
          <w:insideV w:sz="0" w:space="0" w:val="nil"/>
          <w:insideH w:sz="0" w:space="0" w:val="nil"/>
        </w:tblBorders>
      </w:tblPr>
      <w:tblGrid>
        <w:gridCol w:w="10064"/>
        <w:gridCol w:w="3402"/>
        <w:gridCol w:w="1843"/>
      </w:tblGrid>
      <w:tr>
        <w:trPr>
          <w:trHeight w:val="348" w:hRule="atLeast"/>
        </w:trPr>
        <w:tc>
          <w:tcPr>
            <w:tcW w:type="dxa" w:w="10064"/>
            <w:tcBorders>
              <w:left w:sz="4" w:val="single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Наименование показателя</w:t>
            </w:r>
          </w:p>
        </w:tc>
        <w:tc>
          <w:tcPr>
            <w:tcW w:type="dxa" w:w="3402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keepLines w:val="true"/>
              <w:keepNext w:val="true"/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Код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бюджетной </w:t>
            </w:r>
          </w:p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классификации</w:t>
            </w:r>
          </w:p>
        </w:tc>
        <w:tc>
          <w:tcPr>
            <w:tcW w:type="dxa" w:w="1843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tabs>
                <w:tab w:val="left" w:pos="2394"/>
              </w:tabs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position w:val="0"/>
              </w:rPr>
              <w:t xml:space="preserve">Исполнено  (руб.)</w:t>
            </w:r>
          </w:p>
        </w:tc>
      </w:tr>
      <w:tr>
        <w:trPr>
          <w:trHeight w:val="348" w:hRule="atLeast"/>
        </w:trPr>
        <w:tc>
          <w:tcPr>
            <w:tcW w:type="dxa" w:w="10064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ВСЕГО ИСТОЧНИКОВ ФИНАНСИРОВАНИЯ ДЕФИЦИТА БЮДЖЕТА</w:t>
            </w:r>
          </w:p>
        </w:tc>
        <w:tc>
          <w:tcPr>
            <w:tcW w:type="dxa" w:w="3402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</w:p>
        </w:tc>
        <w:tc>
          <w:tcPr>
            <w:tcW w:type="dxa" w:w="1843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6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760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 </w:t>
            </w:r>
            <w:r>
              <w:rPr>
                <w:b w:val="true"/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003,29</w:t>
            </w:r>
          </w:p>
        </w:tc>
      </w:tr>
      <w:tr>
        <w:trPr>
          <w:trHeight w:val="348" w:hRule="atLeast"/>
        </w:trPr>
        <w:tc>
          <w:tcPr>
            <w:tcW w:type="dxa" w:w="10064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Средства от продажи акций и иных форм участия в капитале, находящихся в собственности городских поселений</w:t>
            </w:r>
          </w:p>
        </w:tc>
        <w:tc>
          <w:tcPr>
            <w:tcW w:type="dxa" w:w="3402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012 01 06 01 00 13 0000 630</w:t>
            </w:r>
          </w:p>
        </w:tc>
        <w:tc>
          <w:tcPr>
            <w:tcW w:type="dxa" w:w="1843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382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900,00</w:t>
            </w:r>
          </w:p>
        </w:tc>
      </w:tr>
      <w:tr>
        <w:trPr>
          <w:trHeight w:val="348" w:hRule="atLeast"/>
        </w:trPr>
        <w:tc>
          <w:tcPr>
            <w:tcW w:type="dxa" w:w="10064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Возврат прочих бюджетных кредитов (ссуд), предоставленных бюджетами городских поселений внутри страны</w:t>
            </w:r>
          </w:p>
        </w:tc>
        <w:tc>
          <w:tcPr>
            <w:tcW w:type="dxa" w:w="3402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firstLine="108" w:left="-108" w:right="0" w:start="-108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012 01 06 08 00 13 0000 640</w:t>
            </w:r>
          </w:p>
        </w:tc>
        <w:tc>
          <w:tcPr>
            <w:tcW w:type="dxa" w:w="1843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100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000,00</w:t>
            </w:r>
          </w:p>
        </w:tc>
      </w:tr>
      <w:tr>
        <w:trPr>
          <w:trHeight w:val="348" w:hRule="atLeast"/>
        </w:trPr>
        <w:tc>
          <w:tcPr>
            <w:tcW w:type="dxa" w:w="10064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both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Увеличение прочих остатков денежных средств бюджетов городских поселений</w:t>
            </w:r>
          </w:p>
        </w:tc>
        <w:tc>
          <w:tcPr>
            <w:tcW w:type="dxa" w:w="3402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firstLine="108" w:left="-108" w:right="0" w:start="-108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color w:val="000000"/>
                <w:position w:val="0"/>
              </w:rPr>
              <w:t xml:space="preserve">012 01 05 02 01 13 0000 510</w:t>
            </w:r>
          </w:p>
        </w:tc>
        <w:tc>
          <w:tcPr>
            <w:tcW w:type="dxa" w:w="1843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-484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918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138,45</w:t>
            </w:r>
          </w:p>
        </w:tc>
      </w:tr>
      <w:tr>
        <w:trPr>
          <w:trHeight w:val="348" w:hRule="atLeast"/>
        </w:trPr>
        <w:tc>
          <w:tcPr>
            <w:tcW w:type="dxa" w:w="10064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top"/>
            <w:textDirection w:val="lrTb"/>
            <w:gridSpan w:val="1"/>
          </w:tcPr>
          <w:p>
            <w:pPr>
              <w:jc w:val="left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Уменьшение прочих остатков денежных средств бюджетов городских поселений</w:t>
            </w:r>
          </w:p>
        </w:tc>
        <w:tc>
          <w:tcPr>
            <w:tcW w:type="dxa" w:w="3402"/>
            <w:tcBorders>
              <w:left w:val="nil"/>
              <w:top w:sz="4" w:val="single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012 01 05 02 01 13 0000 610</w:t>
            </w:r>
          </w:p>
        </w:tc>
        <w:tc>
          <w:tcPr>
            <w:tcW w:type="dxa" w:w="1843"/>
            <w:tcBorders>
              <w:left w:sz="4" w:val="single"/>
              <w:top w:val="nil"/>
              <w:right w:sz="4" w:val="single"/>
              <w:bottom w:sz="4" w:val="single"/>
            </w:tcBorders>
            <w:shd w:val="nil"/>
            <w:vAlign w:val="center"/>
            <w:textDirection w:val="lrTb"/>
            <w:gridSpan w:val="1"/>
          </w:tcPr>
          <w:p>
            <w:pPr>
              <w:jc w:val="center"/>
              <w:textAlignment w:val="auto"/>
              <w:ind w:left="0" w:right="0" w:start="0" w:end="0"/>
              <w:adjustRightInd w:val="true"/>
              <w:spacing w:after="0" w:line="240"/>
              <w:bidi w:val="false"/>
              <w:rPr>
                <w:rFonts w:ascii="Times New Roman" w:eastAsia="Times New Roman" w:hAnsi="Times New Roman" w:cs="Times New Roman"/>
                <w:sz w:val="24"/>
                <w:position w:val="0"/>
              </w:rPr>
            </w:pP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491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195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position w:val="0"/>
              </w:rPr>
              <w:t xml:space="preserve">241,74</w:t>
            </w:r>
          </w:p>
        </w:tc>
      </w:tr>
    </w:tbl>
    <w:p>
      <w:pPr>
        <w:keepLines w:val="true"/>
        <w:keepNext w:val="true"/>
        <w:jc w:val="right"/>
        <w:textAlignment w:val="auto"/>
        <w:ind w:left="4536" w:right="0" w:start="453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  <w:color w:val="000000"/>
        </w:rPr>
      </w:pPr>
    </w:p>
    <w:p>
      <w:pPr>
        <w:keepLines w:val="true"/>
        <w:keepNext w:val="true"/>
        <w:jc w:val="right"/>
        <w:textAlignment w:val="auto"/>
        <w:ind w:left="4536" w:right="0" w:start="4536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</w:p>
    <w:sectPr>
      <w:cols w:num="1" w:space="708" w:equalWidth="true"/>
      <w:footnotePr>
        <w:pos w:val="pageBottom"/>
      </w:footnotePr>
      <w:lnNumType w:distance="0"/>
      <w:pgSz w:w="16838" w:h="11906" w:orient="landscape"/>
      <w:pgMar w:left="1276" w:right="822" w:top="567" w:bottom="567" w:gutter="0" w:header="709" w:footer="709"/>
      <w:footerReference w:type="default" r:id="rId5"/>
    </w:sectPr>
  </w:body>
</w:document>
</file>

<file path=word/endnotes.xml><?xml version="1.0" encoding="utf-8"?>
<w:end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end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  <w:end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endnote>
</w:endnotes>
</file>

<file path=word/fontTable.xml><?xml version="1.0" encoding="utf-8"?>
<w:fonts xmlns:w="http://schemas.openxmlformats.org/wordprocessingml/2006/main">
  <w:font w:name="Times New Roman">
    <w:altName w:val="Times New Roman"/>
    <w:panose1 w:val="02020603050405020304"/>
    <w:family w:val="roman"/>
    <w:charset w:val="CC"/>
    <w:pitch w:val="variable"/>
  </w:font>
  <w:font w:name="Arial">
    <w:altName w:val="Arial"/>
    <w:panose1 w:val="020b0604020202020204"/>
    <w:family w:val="swiss"/>
    <w:charset w:val="CC"/>
    <w:pitch w:val="variable"/>
  </w:font>
  <w:font w:name="Cambria Math">
    <w:panose1 w:val="02040503050406030204"/>
    <w:family w:val="roman"/>
    <w:charset w:val="CC"/>
    <w:pitch w:val="variable"/>
  </w:font>
  <w:font w:name="Calibri">
    <w:altName w:val="Arial"/>
    <w:panose1 w:val="020f0502020204030204"/>
    <w:family w:val="swiss"/>
    <w:charset w:val="CC"/>
    <w:pitch w:val="variable"/>
  </w:font>
  <w:font w:name="Tahoma">
    <w:altName w:val="Times New Roman"/>
    <w:panose1 w:val="020b0604030504040204"/>
    <w:family w:val="swiss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mbria">
    <w:altName w:val="Palatino Linotype"/>
    <w:panose1 w:val="020405030504060302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Calibri">
    <w:altName w:val="Arial"/>
    <w:panose1 w:val="020f0502020204030204"/>
    <w:family w:val="swiss"/>
    <w:charset w:val="CC"/>
    <w:pitch w:val="variable"/>
  </w:font>
  <w:font w:name="Times New Roman">
    <w:altName w:val="Times New Roman"/>
    <w:panose1 w:val="02020603050405020304"/>
    <w:family w:val="roman"/>
    <w:charset w:val="CC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Arial">
    <w:altName w:val="Arial"/>
    <w:family w:val="swiss"/>
    <w:charset w:val="00"/>
    <w:pitch w:val="variable"/>
  </w:font>
  <w:font w:name="Arial CE">
    <w:altName w:val="Arial"/>
    <w:family w:val="swiss"/>
    <w:charset w:val="EE"/>
    <w:pitch w:val="variable"/>
  </w:font>
  <w:font w:name="Arial Greek">
    <w:altName w:val="Arial"/>
    <w:family w:val="swiss"/>
    <w:charset w:val="A1"/>
    <w:pitch w:val="variable"/>
  </w:font>
  <w:font w:name="Arial Tur">
    <w:altName w:val="Arial"/>
    <w:family w:val="swiss"/>
    <w:charset w:val="A2"/>
    <w:pitch w:val="variable"/>
  </w:font>
  <w:font w:name="Arial (Hebrew)">
    <w:altName w:val="Arial"/>
    <w:family w:val="swiss"/>
    <w:charset w:val="B1"/>
    <w:pitch w:val="variable"/>
  </w:font>
  <w:font w:name="Arial (Arabic)">
    <w:altName w:val="Arial"/>
    <w:family w:val="swiss"/>
    <w:charset w:val="B2"/>
    <w:pitch w:val="variable"/>
  </w:font>
  <w:font w:name="Arial Baltic">
    <w:altName w:val="Arial"/>
    <w:family w:val="swiss"/>
    <w:charset w:val="BA"/>
    <w:pitch w:val="variable"/>
  </w:font>
  <w:font w:name="Arial (Vietnamese)">
    <w:altName w:val="Arial"/>
    <w:family w:val="swiss"/>
    <w:charset w:val="A3"/>
    <w:pitch w:val="variable"/>
  </w:font>
  <w:font w:name="Cambria Math">
    <w:family w:val="roman"/>
    <w:charset w:val="00"/>
    <w:pitch w:val="variable"/>
  </w:font>
  <w:font w:name="Cambria Math CE">
    <w:family w:val="roman"/>
    <w:charset w:val="EE"/>
    <w:pitch w:val="variable"/>
  </w:font>
  <w:font w:name="Cambria Math Greek">
    <w:family w:val="roman"/>
    <w:charset w:val="A1"/>
    <w:pitch w:val="variable"/>
  </w:font>
  <w:font w:name="Cambria Math Tur">
    <w:family w:val="roman"/>
    <w:charset w:val="A2"/>
    <w:pitch w:val="variable"/>
  </w:font>
  <w:font w:name="Cambria Math Baltic">
    <w:family w:val="roman"/>
    <w:charset w:val="BA"/>
    <w:pitch w:val="variable"/>
  </w:font>
  <w:font w:name="Cambria Math (Vietnamese)">
    <w:family w:val="roman"/>
    <w:charset w:val="A3"/>
    <w:pitch w:val="variable"/>
  </w:font>
  <w:font w:name="Calibri">
    <w:altName w:val="Arial"/>
    <w:family w:val="swiss"/>
    <w:charset w:val="00"/>
    <w:pitch w:val="variable"/>
  </w:font>
  <w:font w:name="Calibri CE">
    <w:altName w:val="Arial"/>
    <w:family w:val="swiss"/>
    <w:charset w:val="EE"/>
    <w:pitch w:val="variable"/>
  </w:font>
  <w:font w:name="Calibri Greek">
    <w:altName w:val="Arial"/>
    <w:family w:val="swiss"/>
    <w:charset w:val="A1"/>
    <w:pitch w:val="variable"/>
  </w:font>
  <w:font w:name="Calibri Tur">
    <w:altName w:val="Arial"/>
    <w:family w:val="swiss"/>
    <w:charset w:val="A2"/>
    <w:pitch w:val="variable"/>
  </w:font>
  <w:font w:name="Calibri (Hebrew)">
    <w:altName w:val="Arial"/>
    <w:family w:val="swiss"/>
    <w:charset w:val="B1"/>
    <w:pitch w:val="variable"/>
  </w:font>
  <w:font w:name="Calibri (Arabic)">
    <w:altName w:val="Arial"/>
    <w:family w:val="swiss"/>
    <w:charset w:val="B2"/>
    <w:pitch w:val="variable"/>
  </w:font>
  <w:font w:name="Calibri Baltic">
    <w:altName w:val="Arial"/>
    <w:family w:val="swiss"/>
    <w:charset w:val="BA"/>
    <w:pitch w:val="variable"/>
  </w:font>
  <w:font w:name="Calibri (Vietnamese)">
    <w:altName w:val="Arial"/>
    <w:family w:val="swiss"/>
    <w:charset w:val="A3"/>
    <w:pitch w:val="variable"/>
  </w:font>
  <w:font w:name="Tahoma">
    <w:altName w:val="Times New Roman"/>
    <w:family w:val="swiss"/>
    <w:charset w:val="00"/>
    <w:pitch w:val="variable"/>
  </w:font>
  <w:font w:name="Tahoma CE">
    <w:altName w:val="Times New Roman"/>
    <w:family w:val="swiss"/>
    <w:charset w:val="EE"/>
    <w:pitch w:val="variable"/>
  </w:font>
  <w:font w:name="Tahoma Greek">
    <w:altName w:val="Times New Roman"/>
    <w:family w:val="swiss"/>
    <w:charset w:val="A1"/>
    <w:pitch w:val="variable"/>
  </w:font>
  <w:font w:name="Tahoma Tur">
    <w:altName w:val="Times New Roman"/>
    <w:family w:val="swiss"/>
    <w:charset w:val="A2"/>
    <w:pitch w:val="variable"/>
  </w:font>
  <w:font w:name="Tahoma (Hebrew)">
    <w:altName w:val="Times New Roman"/>
    <w:family w:val="swiss"/>
    <w:charset w:val="B1"/>
    <w:pitch w:val="variable"/>
  </w:font>
  <w:font w:name="Tahoma (Arabic)">
    <w:altName w:val="Times New Roman"/>
    <w:family w:val="swiss"/>
    <w:charset w:val="B2"/>
    <w:pitch w:val="variable"/>
  </w:font>
  <w:font w:name="Tahoma Baltic">
    <w:altName w:val="Times New Roman"/>
    <w:family w:val="swiss"/>
    <w:charset w:val="BA"/>
    <w:pitch w:val="variable"/>
  </w:font>
  <w:font w:name="Tahoma (Vietnamese)">
    <w:altName w:val="Times New Roman"/>
    <w:family w:val="swiss"/>
    <w:charset w:val="A3"/>
    <w:pitch w:val="variable"/>
  </w:font>
  <w:font w:name="Tahoma (Thai)">
    <w:altName w:val="Times New Roman"/>
    <w:family w:val="swiss"/>
    <w:charset w:val="DE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mbria">
    <w:altName w:val="Palatino Linotype"/>
    <w:family w:val="roman"/>
    <w:charset w:val="00"/>
    <w:pitch w:val="variable"/>
  </w:font>
  <w:font w:name="Cambria CE">
    <w:altName w:val="Palatino Linotype"/>
    <w:family w:val="roman"/>
    <w:charset w:val="EE"/>
    <w:pitch w:val="variable"/>
  </w:font>
  <w:font w:name="Cambria Greek">
    <w:altName w:val="Palatino Linotype"/>
    <w:family w:val="roman"/>
    <w:charset w:val="A1"/>
    <w:pitch w:val="variable"/>
  </w:font>
  <w:font w:name="Cambria Tur">
    <w:altName w:val="Palatino Linotype"/>
    <w:family w:val="roman"/>
    <w:charset w:val="A2"/>
    <w:pitch w:val="variable"/>
  </w:font>
  <w:font w:name="Cambria Baltic">
    <w:altName w:val="Palatino Linotype"/>
    <w:family w:val="roman"/>
    <w:charset w:val="BA"/>
    <w:pitch w:val="variable"/>
  </w:font>
  <w:font w:name="Cambria (Vietnamese)">
    <w:altName w:val="Palatino Linotype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  <w:font w:name="Calibri">
    <w:altName w:val="Arial"/>
    <w:family w:val="swiss"/>
    <w:charset w:val="00"/>
    <w:pitch w:val="variable"/>
  </w:font>
  <w:font w:name="Calibri CE">
    <w:altName w:val="Arial"/>
    <w:family w:val="swiss"/>
    <w:charset w:val="EE"/>
    <w:pitch w:val="variable"/>
  </w:font>
  <w:font w:name="Calibri Greek">
    <w:altName w:val="Arial"/>
    <w:family w:val="swiss"/>
    <w:charset w:val="A1"/>
    <w:pitch w:val="variable"/>
  </w:font>
  <w:font w:name="Calibri Tur">
    <w:altName w:val="Arial"/>
    <w:family w:val="swiss"/>
    <w:charset w:val="A2"/>
    <w:pitch w:val="variable"/>
  </w:font>
  <w:font w:name="Calibri (Hebrew)">
    <w:altName w:val="Arial"/>
    <w:family w:val="swiss"/>
    <w:charset w:val="B1"/>
    <w:pitch w:val="variable"/>
  </w:font>
  <w:font w:name="Calibri (Arabic)">
    <w:altName w:val="Arial"/>
    <w:family w:val="swiss"/>
    <w:charset w:val="B2"/>
    <w:pitch w:val="variable"/>
  </w:font>
  <w:font w:name="Calibri Baltic">
    <w:altName w:val="Arial"/>
    <w:family w:val="swiss"/>
    <w:charset w:val="BA"/>
    <w:pitch w:val="variable"/>
  </w:font>
  <w:font w:name="Calibri (Vietnamese)">
    <w:altName w:val="Arial"/>
    <w:family w:val="swiss"/>
    <w:charset w:val="A3"/>
    <w:pitch w:val="variable"/>
  </w:font>
  <w:font w:name="Times New Roman">
    <w:altName w:val="Times New Roman"/>
    <w:family w:val="roman"/>
    <w:charset w:val="00"/>
    <w:pitch w:val="variable"/>
  </w:font>
  <w:font w:name="Times New Roman CE">
    <w:altName w:val="Times New Roman"/>
    <w:family w:val="roman"/>
    <w:charset w:val="EE"/>
    <w:pitch w:val="variable"/>
  </w:font>
  <w:font w:name="Times New Roman Greek">
    <w:altName w:val="Times New Roman"/>
    <w:family w:val="roman"/>
    <w:charset w:val="A1"/>
    <w:pitch w:val="variable"/>
  </w:font>
  <w:font w:name="Times New Roman Tur">
    <w:altName w:val="Times New Roman"/>
    <w:family w:val="roman"/>
    <w:charset w:val="A2"/>
    <w:pitch w:val="variable"/>
  </w:font>
  <w:font w:name="Times New Roman (Hebrew)">
    <w:altName w:val="Times New Roman"/>
    <w:family w:val="roman"/>
    <w:charset w:val="B1"/>
    <w:pitch w:val="variable"/>
  </w:font>
  <w:font w:name="Times New Roman (Arabic)">
    <w:altName w:val="Times New Roman"/>
    <w:family w:val="roman"/>
    <w:charset w:val="B2"/>
    <w:pitch w:val="variable"/>
  </w:font>
  <w:font w:name="Times New Roman Baltic">
    <w:altName w:val="Times New Roman"/>
    <w:family w:val="roman"/>
    <w:charset w:val="BA"/>
    <w:pitch w:val="variable"/>
  </w:font>
  <w:font w:name="Times New Roman (Vietnamese)">
    <w:altName w:val="Times New Roman"/>
    <w:family w:val="roman"/>
    <w:charset w:val="A3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08/6/28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08/9/16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09/2/wordml" xmlns:wpg="http://schemas.microsoft.com/office/word/2008/6/28/wordprocessingGroup" xmlns:wpi="http://schemas.microsoft.com/office/word/2008/6/28/wordprocessingInk" xmlns:wne="http://schemas.microsoft.com/office/word/2006/wordml" xmlns:wps="http://schemas.microsoft.com/office/word/2008/6/28/wordprocessingShape">
  <w:footnote w:type="separator" w:id="0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separator/>
      </w:r>
    </w:p>
  </w:footnote>
  <w:footnote w:type="continuationSeparator" w:id="1">
    <w:p>
      <w:pPr>
        <w:jc w:val="left"/>
        <w:textAlignment w:val="auto"/>
        <w:ind w:left="0" w:right="0" w:start="0" w:end="0"/>
        <w:adjustRightInd w:val="true"/>
        <w:spacing w:after="0" w:line="240"/>
        <w:bidi w:val="false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  <w:textAlignment w:val="auto"/>
      <w:ind w:left="0" w:right="0" w:start="0" w:end="0"/>
      <w:adjustRightInd w:val="true"/>
      <w:spacing w:after="0" w:line="240"/>
      <w:bidi w:val="false"/>
      <w:tabs>
        <w:tab w:val="center" w:pos="4677"/>
        <w:tab w:val="right" w:pos="9355"/>
      </w:tabs>
      <w:rPr>
        <w:rFonts w:ascii="Times New Roman" w:eastAsia="Times New Roman" w:hAnsi="Times New Roman" w:cs="Times New Roman"/>
        <w:sz w:val="24"/>
      </w:rPr>
    </w:pPr>
    <w:fldSimple w:instr="PAGE   \* MERGEFORMAT">
      <w:r>
        <w:rPr>
          <w:rFonts w:ascii="Times New Roman" w:eastAsia="Times New Roman" w:hAnsi="Times New Roman" w:cs="Times New Roman"/>
          <w:sz w:val="24"/>
        </w:rPr>
        <w:t xml:space="preserve">2</w:t>
      </w:r>
    </w:fldSimple>
  </w:p>
</w:hdr>
</file>

<file path=word/numbering.xml><?xml version="1.0" encoding="utf-8"?>
<w:numbering xmlns:w="http://schemas.openxmlformats.org/wordprocessingml/2006/main" xmlns:r="http://schemas.openxmlformats.org/officeDocument/2006/relationships" xmlns:v="urn:schemas-microsoft-com:vml" xmlns:o="urn:schemas-microsoft-com:office:office" xmlns:wp="http://schemas.openxmlformats.org/drawingml/2006/wordprocessingDrawing" xmlns:m="http://schemas.openxmlformats.org/officeDocument/2006/math" xmlns:w10="urn:schemas-microsoft-com:office:word">
  <w:abstractNum w:abstractNumId="83648590">
    <w:multiLevelType w:val="hybridMultilevel"/>
    <w:tmpl w:val="cedeb858"/>
    <w:lvl w:ilvl="0">
      <w:lvlJc w:val="left"/>
      <w:lvlText w:val="%1."/>
      <w:numFmt w:val="decimal"/>
      <w:start w:val="1"/>
      <w:suff w:val="tab"/>
      <w:pPr>
        <w:ind w:hanging="975" w:left="1684" w:start="1684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-"/>
      <w:numFmt w:val="bullet"/>
      <w:start w:val="1"/>
      <w:suff w:val="tab"/>
      <w:pPr>
        <w:ind w:hanging="360" w:left="1789" w:start="1789"/>
      </w:pPr>
      <w:rPr>
        <w:rFonts w:ascii="Times New Roman" w:eastAsia="Times New Roman" w:hAnsi="Times New Roman" w:cs="Times New Roman"/>
        <w:sz w:val="24"/>
      </w:rPr>
    </w:lvl>
    <w:lvl w:ilvl="2">
      <w:lvlJc w:val="right"/>
      <w:lvlText w:val="%3."/>
      <w:numFmt w:val="lowerRoman"/>
      <w:start w:val="1"/>
      <w:suff w:val="tab"/>
      <w:pPr>
        <w:ind w:hanging="180" w:left="2509" w:start="2509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4."/>
      <w:numFmt w:val="decimal"/>
      <w:start w:val="1"/>
      <w:suff w:val="tab"/>
      <w:pPr>
        <w:ind w:hanging="360" w:left="3229" w:start="3229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5."/>
      <w:numFmt w:val="lowerLetter"/>
      <w:start w:val="1"/>
      <w:suff w:val="tab"/>
      <w:pPr>
        <w:ind w:hanging="360" w:left="3949" w:start="3949"/>
      </w:pPr>
      <w:rPr>
        <w:rFonts w:ascii="Times New Roman" w:eastAsia="Times New Roman" w:hAnsi="Times New Roman" w:cs="Times New Roman"/>
        <w:sz w:val="24"/>
      </w:rPr>
    </w:lvl>
    <w:lvl w:ilvl="5">
      <w:lvlJc w:val="right"/>
      <w:lvlText w:val="%6."/>
      <w:numFmt w:val="lowerRoman"/>
      <w:start w:val="1"/>
      <w:suff w:val="tab"/>
      <w:pPr>
        <w:ind w:hanging="180" w:left="4669" w:start="4669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7."/>
      <w:numFmt w:val="decimal"/>
      <w:start w:val="1"/>
      <w:suff w:val="tab"/>
      <w:pPr>
        <w:ind w:hanging="360" w:left="5389" w:start="5389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8."/>
      <w:numFmt w:val="lowerLetter"/>
      <w:start w:val="1"/>
      <w:suff w:val="tab"/>
      <w:pPr>
        <w:ind w:hanging="360" w:left="6109" w:start="6109"/>
      </w:pPr>
      <w:rPr>
        <w:rFonts w:ascii="Times New Roman" w:eastAsia="Times New Roman" w:hAnsi="Times New Roman" w:cs="Times New Roman"/>
        <w:sz w:val="24"/>
      </w:rPr>
    </w:lvl>
    <w:lvl w:ilvl="8">
      <w:lvlJc w:val="right"/>
      <w:lvlText w:val="%9."/>
      <w:numFmt w:val="lowerRoman"/>
      <w:start w:val="1"/>
      <w:suff w:val="tab"/>
      <w:pPr>
        <w:ind w:hanging="180" w:left="6829" w:start="6829"/>
      </w:pPr>
      <w:rPr>
        <w:rFonts w:ascii="Times New Roman" w:eastAsia="Times New Roman" w:hAnsi="Times New Roman" w:cs="Times New Roman"/>
        <w:sz w:val="24"/>
      </w:rPr>
    </w:lvl>
  </w:abstractNum>
  <w:abstractNum w:abstractNumId="1313632715">
    <w:multiLevelType w:val="multilevel"/>
    <w:tmpl w:val="3f921c04"/>
    <w:lvl w:ilvl="0">
      <w:lvlJc w:val="left"/>
      <w:lvlText w:val="%1."/>
      <w:numFmt w:val="decimal"/>
      <w:start w:val="1"/>
      <w:suff w:val="tab"/>
      <w:pPr>
        <w:ind w:hanging="360" w:left="1080" w:start="1080"/>
      </w:pPr>
      <w:rPr>
        <w:rFonts w:ascii="Times New Roman" w:eastAsia="Times New Roman" w:hAnsi="Times New Roman" w:cs="Times New Roman"/>
        <w:sz w:val="24"/>
      </w:rPr>
    </w:lvl>
    <w:lvl w:ilvl="1">
      <w:lvlJc w:val="left"/>
      <w:lvlText w:val="%1.%2."/>
      <w:numFmt w:val="decimal"/>
      <w:start w:val="3"/>
      <w:suff w:val="tab"/>
      <w:pPr>
        <w:ind w:hanging="720" w:left="1571" w:start="1571"/>
      </w:pPr>
      <w:rPr>
        <w:rFonts w:ascii="Times New Roman" w:eastAsia="Times New Roman" w:hAnsi="Times New Roman" w:cs="Times New Roman"/>
        <w:sz w:val="24"/>
      </w:rPr>
    </w:lvl>
    <w:lvl w:ilvl="2">
      <w:lvlJc w:val="left"/>
      <w:lvlText w:val="%1.%2.%3."/>
      <w:numFmt w:val="decimal"/>
      <w:start w:val="1"/>
      <w:suff w:val="tab"/>
      <w:pPr>
        <w:ind w:hanging="720" w:left="1440" w:start="1440"/>
      </w:pPr>
      <w:rPr>
        <w:rFonts w:ascii="Times New Roman" w:eastAsia="Times New Roman" w:hAnsi="Times New Roman" w:cs="Times New Roman"/>
        <w:sz w:val="24"/>
      </w:rPr>
    </w:lvl>
    <w:lvl w:ilvl="3">
      <w:lvlJc w:val="left"/>
      <w:lvlText w:val="%1.%2.%3.%4."/>
      <w:numFmt w:val="decimal"/>
      <w:start w:val="1"/>
      <w:suff w:val="tab"/>
      <w:pPr>
        <w:ind w:hanging="1080" w:left="1800" w:start="1800"/>
      </w:pPr>
      <w:rPr>
        <w:rFonts w:ascii="Times New Roman" w:eastAsia="Times New Roman" w:hAnsi="Times New Roman" w:cs="Times New Roman"/>
        <w:sz w:val="24"/>
      </w:rPr>
    </w:lvl>
    <w:lvl w:ilvl="4">
      <w:lvlJc w:val="left"/>
      <w:lvlText w:val="%1.%2.%3.%4.%5."/>
      <w:numFmt w:val="decimal"/>
      <w:start w:val="1"/>
      <w:suff w:val="tab"/>
      <w:pPr>
        <w:ind w:hanging="1080" w:left="1800" w:start="1800"/>
      </w:pPr>
      <w:rPr>
        <w:rFonts w:ascii="Times New Roman" w:eastAsia="Times New Roman" w:hAnsi="Times New Roman" w:cs="Times New Roman"/>
        <w:sz w:val="24"/>
      </w:rPr>
    </w:lvl>
    <w:lvl w:ilvl="5">
      <w:lvlJc w:val="left"/>
      <w:lvlText w:val="%1.%2.%3.%4.%5.%6."/>
      <w:numFmt w:val="decimal"/>
      <w:start w:val="1"/>
      <w:suff w:val="tab"/>
      <w:pPr>
        <w:ind w:hanging="1440" w:left="2160" w:start="2160"/>
      </w:pPr>
      <w:rPr>
        <w:rFonts w:ascii="Times New Roman" w:eastAsia="Times New Roman" w:hAnsi="Times New Roman" w:cs="Times New Roman"/>
        <w:sz w:val="24"/>
      </w:rPr>
    </w:lvl>
    <w:lvl w:ilvl="6">
      <w:lvlJc w:val="left"/>
      <w:lvlText w:val="%1.%2.%3.%4.%5.%6.%7."/>
      <w:numFmt w:val="decimal"/>
      <w:start w:val="1"/>
      <w:suff w:val="tab"/>
      <w:pPr>
        <w:ind w:hanging="1800" w:left="2520" w:start="2520"/>
      </w:pPr>
      <w:rPr>
        <w:rFonts w:ascii="Times New Roman" w:eastAsia="Times New Roman" w:hAnsi="Times New Roman" w:cs="Times New Roman"/>
        <w:sz w:val="24"/>
      </w:rPr>
    </w:lvl>
    <w:lvl w:ilvl="7">
      <w:lvlJc w:val="left"/>
      <w:lvlText w:val="%1.%2.%3.%4.%5.%6.%7.%8."/>
      <w:numFmt w:val="decimal"/>
      <w:start w:val="1"/>
      <w:suff w:val="tab"/>
      <w:pPr>
        <w:ind w:hanging="1800" w:left="2520" w:start="2520"/>
      </w:pPr>
      <w:rPr>
        <w:rFonts w:ascii="Times New Roman" w:eastAsia="Times New Roman" w:hAnsi="Times New Roman" w:cs="Times New Roman"/>
        <w:sz w:val="24"/>
      </w:rPr>
    </w:lvl>
    <w:lvl w:ilvl="8">
      <w:lvlJc w:val="left"/>
      <w:lvlText w:val="%1.%2.%3.%4.%5.%6.%7.%8.%9."/>
      <w:numFmt w:val="decimal"/>
      <w:start w:val="1"/>
      <w:suff w:val="tab"/>
      <w:pPr>
        <w:ind w:hanging="2160" w:left="2880" w:start="2880"/>
      </w:pPr>
      <w:rPr>
        <w:rFonts w:ascii="Times New Roman" w:eastAsia="Times New Roman" w:hAnsi="Times New Roman" w:cs="Times New Roman"/>
        <w:sz w:val="24"/>
      </w:rPr>
    </w:lvl>
  </w:abstractNum>
  <w:num w:numId="1">
    <w:abstractNumId w:val="83648590"/>
  </w:num>
  <w:num w:numId="2">
    <w:abstractNumId w:val="1313632715"/>
  </w:num>
</w:numbering>
</file>

<file path=word/settings.xml><?xml version="1.0" encoding="utf-8"?>
<w:settings xmlns:w="http://schemas.openxmlformats.org/wordprocessingml/2006/main" xmlns:m="http://schemas.openxmlformats.org/officeDocument/2006/math">
  <w:zoom w:percent="100"/>
  <w:defaultTabStop w:val="708"/>
  <w:characterSpacingControl xmlns:w="http://schemas.openxmlformats.org/wordprocessingml/2006/main" w:val="doNotCompress"/>
  <w:compat xmlns:w="http://schemas.openxmlformats.org/wordprocessingml/2006/main"/>
  <m:mathPr>
    <m:mathFont m:val="Cambria Math"/>
    <m:brkBin m:val="before"/>
    <m:brkBinSub m:val="--"/>
    <m:smallFrac w:val="0"/>
    <m:dispDef w:val="1"/>
    <m:lMargin w:val="0"/>
    <m:rMargin w:val="0"/>
    <m:defJc m:val="centerGroup"/>
    <m:wrapIndent w:val="1440"/>
    <m:intLim xmlns:m="http://schemas.openxmlformats.org/officeDocument/2006/math" m:val="subSup"/>
    <m:naryLim m:val="undOvr"/>
  </m:mathPr>
  <w:themeFontLang xmlns:w="http://schemas.openxmlformats.org/wordprocessingml/2006/main" w:val="ru-RU"/>
  <w:clrSchemeMapping xmlns:w="http://schemas.openxmlformats.org/wordprocessingml/2006/main" w:bg1="light1" w:t1="dark1" w:bg2="light2" w:t2="dark2" w:accent1="accent1" w:accent2="accent2" w:accent3="accent3" w:accent4="accent4" w:accent5="accent5" w:accent6="accent6" w:hyperlink="hyperlink" w:followedHyperlink="followedHyperlink"/>
  <w:shapeDefaults xmlns:w="http://schemas.openxmlformats.org/wordprocessingml/2006/main">
    <o:shapedefaults xmlns:o="urn:schemas-microsoft-com:office:office" xmlns:v="urn:schemas-microsoft-com:vml" v:ext="edit" spidmax="2050"/>
    <o:shapelayout xmlns:o="urn:schemas-microsoft-com:office:office" xmlns:v="urn:schemas-microsoft-com:vml" v:ext="edit">
      <o:idmap v:ext="edit" data="1"/>
    </o:shapelayout>
  </w:shapeDefaults>
  <w:decimalSymbol xmlns:w="http://schemas.openxmlformats.org/wordprocessingml/2006/main" w:val=","/>
  <w:listSeparator xmlns:w="http://schemas.openxmlformats.org/wordprocessingml/2006/main" w:val=";"/>
  <w:doNotHyphenateCaps xmlns:w="http://schemas.openxmlformats.org/wordprocessingml/2006/main" w:val="true"/>
  <w:hyphenationZone xmlns:w="http://schemas.openxmlformats.org/wordprocessingml/2006/main" w:val="357"/>
  <w:bordersDoNotSurroundHeader xmlns:w="http://schemas.openxmlformats.org/wordprocessingml/2006/main" w:val="false"/>
  <w:bordersDoNotSurroundFooter xmlns:w="http://schemas.openxmlformats.org/wordprocessingml/2006/main" w:val="false"/>
  <w:footnotePr xmlns:w="http://schemas.openxmlformats.org/wordprocessingml/2006/main">
    <w:footnote w:id="0"/>
    <w:footnote w:id="1"/>
    <w:pos w:val="pageBottom"/>
  </w:footnotePr>
  <w:endnotePr xmlns:w="http://schemas.openxmlformats.org/wordprocessingml/2006/main">
    <w:endnote w:id="0"/>
    <w:endnote w:id="1"/>
    <w:pos w:val="docEnd"/>
  </w:endnotePr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_rels/document.xml.rels><?xml version="1.0" encoding="UTF-8" standalone="yes"?>
<Relationships xmlns="http://schemas.openxmlformats.org/package/2006/relationships"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theme" Target="theme/theme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numbering" Target="numbering.xml"/><Relationship Id="rId9" Type="http://schemas.openxmlformats.org/officeDocument/2006/relationships/styles" Target="styles.xml"/><Relationship Id="rId10" Type="http://schemas.openxmlformats.org/officeDocument/2006/relationships/fontTable" Target="fontTable.xml"/><Relationship Id="rId1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07/7/7/main" val="1F497D" mc:Ignorable=""/>
      </a:dk2>
      <a:lt2>
        <a:srgbClr xmlns:mc="http://schemas.openxmlformats.org/markup-compatibility/2006" xmlns:a14="http://schemas.microsoft.com/office/drawing/2007/7/7/main" val="EEECE1" mc:Ignorable=""/>
      </a:lt2>
      <a:accent1>
        <a:srgbClr xmlns:mc="http://schemas.openxmlformats.org/markup-compatibility/2006" xmlns:a14="http://schemas.microsoft.com/office/drawing/2007/7/7/main" val="4F81BD" mc:Ignorable=""/>
      </a:accent1>
      <a:accent2>
        <a:srgbClr xmlns:mc="http://schemas.openxmlformats.org/markup-compatibility/2006" xmlns:a14="http://schemas.microsoft.com/office/drawing/2007/7/7/main" val="C0504D" mc:Ignorable=""/>
      </a:accent2>
      <a:accent3>
        <a:srgbClr xmlns:mc="http://schemas.openxmlformats.org/markup-compatibility/2006" xmlns:a14="http://schemas.microsoft.com/office/drawing/2007/7/7/main" val="9BBB59" mc:Ignorable=""/>
      </a:accent3>
      <a:accent4>
        <a:srgbClr xmlns:mc="http://schemas.openxmlformats.org/markup-compatibility/2006" xmlns:a14="http://schemas.microsoft.com/office/drawing/2007/7/7/main" val="8064A2" mc:Ignorable=""/>
      </a:accent4>
      <a:accent5>
        <a:srgbClr xmlns:mc="http://schemas.openxmlformats.org/markup-compatibility/2006" xmlns:a14="http://schemas.microsoft.com/office/drawing/2007/7/7/main" val="4BACC6" mc:Ignorable=""/>
      </a:accent5>
      <a:accent6>
        <a:srgbClr xmlns:mc="http://schemas.openxmlformats.org/markup-compatibility/2006" xmlns:a14="http://schemas.microsoft.com/office/drawing/2007/7/7/main" val="F79646" mc:Ignorable=""/>
      </a:accent6>
      <a:hlink>
        <a:srgbClr xmlns:mc="http://schemas.openxmlformats.org/markup-compatibility/2006" xmlns:a14="http://schemas.microsoft.com/office/drawing/2007/7/7/main" val="0000FF" mc:Ignorable=""/>
      </a:hlink>
      <a:folHlink>
        <a:srgbClr xmlns:mc="http://schemas.openxmlformats.org/markup-compatibility/2006" xmlns:a14="http://schemas.microsoft.com/office/drawing/2007/7/7/main" val="800080" mc:Ignorable="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07/7/7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07/7/7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otalTime>1925</TotalTime>
  <Pages>25</Pages>
  <Words>9091</Words>
  <Characters>51820</Characters>
  <CharactersWithSpaces>60790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Приёмная</dc:creator>
</cp:coreProperties>
</file>