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Id="rId2" Type="http://schemas.openxmlformats.org/officeDocument/2006/relationships/officeDocument" Target="word/document.xml"/><Relationship Id="rId11" Type="http://schemas.openxmlformats.org/officeDocument/2006/relationships/extended-properties" Target="docProps/app.xml"/><Relationship Id="rId1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v="urn:schemas-microsoft-com:vml" xmlns:o="urn:schemas-microsoft-com:office:office" xmlns:wp="http://schemas.openxmlformats.org/drawingml/2006/wordprocessingDrawing" xmlns:m="http://schemas.openxmlformats.org/officeDocument/2006/math" xmlns:w10="urn:schemas-microsoft-com:office:word" xmlns:a="http://schemas.openxmlformats.org/drawingml/2006/main">
  <w:body>
    <w:p>
      <w:pPr>
        <w:jc w:val="center"/>
        <w:textAlignment w:val="auto"/>
        <w:ind w:left="0" w:right="0" w:start="0" w:end="0"/>
        <w:adjustRightInd w:val="true"/>
        <w:spacing w:after="0" w:line="240"/>
        <w:bidi w:val="false"/>
        <w:tabs>
          <w:tab w:val="left" w:pos="1440"/>
          <w:tab w:val="left" w:pos="1980"/>
        </w:tabs>
        <w:rPr>
          <w:rFonts w:ascii="Times New Roman" w:eastAsia="Times New Roman" w:hAnsi="Times New Roman" w:cs="Times New Roman"/>
          <w:sz w:val="24"/>
        </w:rPr>
      </w:pPr>
      <w:fldSimple w:instr="INCLUDEPICTURE &quot;http://lenoblinvest.ru/media/k2/items/cache/128b6fc70890880b123492357ed83328_M.jpg&quot; \* MERGEFORMAT">
        <w:r>
          <w:pict>
            <v:shape id="_x0000_s1025" type="#_x0000_t75" style="width:69pt;height:78pt;mso-position-horizontal:absolute;mso-position-horizontal-relative:char;mso-position-vertical:absolute;mso-position-vertical-relative:line;z-index:100" o:allowincell="true" filled="t" stroked="f">
              <v:imagedata r:id="rId3" cropleft="0f" croptop="0f" cropright="0f" cropbottom="0f" o:title=""/>
            </v:shape>
          </w:pict>
        </w:r>
      </w:fldSimple>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center"/>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Администрация муниципального образования </w:t>
      </w:r>
    </w:p>
    <w:p>
      <w:pPr>
        <w:jc w:val="center"/>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Пикалевское городское поселение</w:t>
      </w:r>
    </w:p>
    <w:p>
      <w:pPr>
        <w:jc w:val="center"/>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Бокситогорского муниципального района Ленинградской области</w:t>
      </w: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spacing w:val="20"/>
          <w:rFonts w:ascii="Times New Roman" w:eastAsia="Times New Roman" w:hAnsi="Times New Roman" w:cs="Times New Roman"/>
          <w:sz w:val="36"/>
        </w:rPr>
      </w:pPr>
      <w:r>
        <w:rPr>
          <w:b w:val="true"/>
          <w:spacing w:val="20"/>
          <w:rFonts w:ascii="Times New Roman" w:eastAsia="Times New Roman" w:hAnsi="Times New Roman" w:cs="Times New Roman"/>
          <w:sz w:val="36"/>
        </w:rPr>
        <w:t xml:space="preserve">РАСПОРЯЖЕНИЕ</w:t>
      </w: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14 декабря 2023 года № 228</w:t>
      </w:r>
    </w:p>
    <w:p>
      <w:pPr>
        <w:jc w:val="left"/>
        <w:textAlignment w:val="auto"/>
        <w:ind w:left="0" w:right="0" w:start="0" w:end="0"/>
        <w:spacing w:after="0" w:line="240"/>
        <w:bidi w:val="false"/>
        <w:rPr>
          <w:rFonts w:ascii="Times New Roman" w:eastAsia="Times New Roman" w:hAnsi="Times New Roman" w:cs="Times New Roman"/>
          <w:sz w:val="28"/>
        </w:rPr>
      </w:pPr>
    </w:p>
    <w:p>
      <w:pPr>
        <w:jc w:val="center"/>
        <w:textAlignment w:val="auto"/>
        <w:ind w:left="0" w:right="0" w:start="0" w:end="0"/>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Об утверждении комплексного плана основных мероприятий администрации Пикалевского городского поселения на 2024 год</w:t>
      </w:r>
    </w:p>
    <w:p>
      <w:pPr>
        <w:jc w:val="both"/>
        <w:textAlignment w:val="auto"/>
        <w:ind w:left="0" w:right="0" w:start="0" w:end="0"/>
        <w:spacing w:after="0" w:line="240"/>
        <w:bidi w:val="false"/>
        <w:rPr>
          <w:rFonts w:ascii="Times New Roman" w:eastAsia="Times New Roman" w:hAnsi="Times New Roman" w:cs="Times New Roman"/>
          <w:sz w:val="28"/>
        </w:rPr>
      </w:pPr>
    </w:p>
    <w:p>
      <w:pPr>
        <w:jc w:val="both"/>
        <w:textAlignment w:val="auto"/>
        <w:ind w:left="0" w:right="0" w:start="0" w:end="0"/>
        <w:spacing w:after="0" w:line="240"/>
        <w:bidi w:val="false"/>
        <w:rPr>
          <w:rFonts w:ascii="Times New Roman" w:eastAsia="Times New Roman" w:hAnsi="Times New Roman" w:cs="Times New Roman"/>
          <w:sz w:val="28"/>
        </w:rPr>
      </w:pPr>
    </w:p>
    <w:p>
      <w:pPr>
        <w:jc w:val="both"/>
        <w:textAlignment w:val="auto"/>
        <w:ind w:left="0" w:right="0" w:start="0" w:end="0"/>
        <w:spacing w:after="0" w:line="240"/>
        <w:bidi w:val="false"/>
        <w:tabs>
          <w:tab w:val="left" w:pos="709"/>
        </w:tabs>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sz w:val="28"/>
        </w:rPr>
        <w:t xml:space="preserve">Руководствуясь нормами раздела II «Планирование деятельности» Регламента администрации, утвержденного распоряжением администрации № 78 от 10 июня 2011 года:</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 Утвердить комплексный план основных мероприятий администрации на 2024 год (прилагается).</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2. Разместить комплексный план основных мероприятий администрации на 2024 год на официальном сайте Пикалевского городского поселения в информационно-телекоммуникационной сети Интернет.</w:t>
      </w:r>
    </w:p>
    <w:p>
      <w:pPr>
        <w:jc w:val="both"/>
        <w:textAlignment w:val="auto"/>
        <w:ind w:firstLine="709"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3. Контроль за выполнением данного распоряжения оставляю за собой.</w:t>
      </w:r>
    </w:p>
    <w:p>
      <w:pPr>
        <w:jc w:val="both"/>
        <w:textAlignment w:val="auto"/>
        <w:ind w:left="0" w:right="0" w:start="0" w:end="0"/>
        <w:spacing w:after="0" w:line="240"/>
        <w:bidi w:val="false"/>
        <w:rPr>
          <w:rFonts w:ascii="Times New Roman" w:eastAsia="Times New Roman" w:hAnsi="Times New Roman" w:cs="Times New Roman"/>
          <w:sz w:val="28"/>
        </w:rPr>
      </w:pPr>
    </w:p>
    <w:p>
      <w:pPr>
        <w:jc w:val="both"/>
        <w:textAlignment w:val="auto"/>
        <w:ind w:left="0" w:right="0" w:start="0" w:end="0"/>
        <w:spacing w:after="0" w:line="240"/>
        <w:bidi w:val="false"/>
        <w:rPr>
          <w:rFonts w:ascii="Times New Roman" w:eastAsia="Times New Roman" w:hAnsi="Times New Roman" w:cs="Times New Roman"/>
          <w:sz w:val="28"/>
        </w:rPr>
      </w:pPr>
    </w:p>
    <w:p>
      <w:pPr>
        <w:jc w:val="both"/>
        <w:textAlignment w:val="auto"/>
        <w:ind w:left="0" w:right="0" w:start="0" w:end="0"/>
        <w:spacing w:after="0" w:line="240"/>
        <w:bidi w:val="false"/>
        <w:rPr>
          <w:rFonts w:ascii="Times New Roman" w:eastAsia="Times New Roman" w:hAnsi="Times New Roman" w:cs="Times New Roman"/>
          <w:sz w:val="28"/>
        </w:rPr>
      </w:pPr>
    </w:p>
    <w:p>
      <w:pPr>
        <w:jc w:val="both"/>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Глава администрации</w:t>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 xml:space="preserve">          Д.Н. Садовников</w:t>
      </w: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center"/>
        <w:textAlignment w:val="auto"/>
        <w:ind w:left="0" w:right="0" w:start="0" w:end="0"/>
        <w:spacing w:after="0" w:line="240"/>
        <w:bidi w:val="false"/>
        <w:rPr>
          <w:b w:val="true"/>
          <w:spacing w:val="40"/>
          <w:rFonts w:ascii="Times New Roman" w:eastAsia="Times New Roman" w:hAnsi="Times New Roman" w:cs="Times New Roman"/>
          <w:sz w:val="28"/>
        </w:rPr>
      </w:pPr>
    </w:p>
    <w:p>
      <w:pPr>
        <w:jc w:val="left"/>
        <w:textAlignment w:val="auto"/>
        <w:ind w:left="0" w:right="0" w:start="0" w:end="0"/>
        <w:adjustRightInd w:val="true"/>
        <w:spacing w:after="200" w:line="276"/>
        <w:bidi w:val="false"/>
        <w:rPr>
          <w:b w:val="true"/>
          <w:spacing w:val="40"/>
          <w:rFonts w:ascii="Times New Roman" w:eastAsia="Times New Roman" w:hAnsi="Times New Roman" w:cs="Times New Roman"/>
          <w:sz w:val="28"/>
        </w:rPr>
      </w:pPr>
      <w:r>
        <w:rPr>
          <w:b w:val="true"/>
          <w:spacing w:val="40"/>
          <w:rFonts w:ascii="Times New Roman" w:eastAsia="Times New Roman" w:hAnsi="Times New Roman" w:cs="Times New Roman"/>
          <w:sz w:val="28"/>
        </w:rPr>
        <w:br w:type="page"/>
      </w:r>
    </w:p>
    <w:p>
      <w:pPr>
        <w:jc w:val="left"/>
        <w:textAlignment w:val="auto"/>
        <w:ind w:left="0" w:right="0" w:start="0" w:end="0"/>
        <w:adjustRightInd w:val="true"/>
        <w:spacing w:after="200" w:line="276"/>
        <w:bidi w:val="false"/>
        <w:rPr>
          <w:b w:val="true"/>
          <w:spacing w:val="40"/>
          <w:rFonts w:ascii="Times New Roman" w:eastAsia="Times New Roman" w:hAnsi="Times New Roman" w:cs="Times New Roman"/>
          <w:sz w:val="28"/>
        </w:rPr>
      </w:pPr>
    </w:p>
    <w:p>
      <w:pPr>
        <w:jc w:val="right"/>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УТВЕРЖДЕН</w:t>
      </w:r>
    </w:p>
    <w:p>
      <w:pPr>
        <w:jc w:val="right"/>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распоряжением администрации</w:t>
      </w:r>
    </w:p>
    <w:p>
      <w:pPr>
        <w:jc w:val="right"/>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Пикалевского городского поселения</w:t>
      </w:r>
    </w:p>
    <w:p>
      <w:pPr>
        <w:jc w:val="right"/>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14 декабря 2023 года № 228</w:t>
      </w:r>
    </w:p>
    <w:p>
      <w:pPr>
        <w:jc w:val="right"/>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(приложение)</w:t>
      </w:r>
    </w:p>
    <w:p>
      <w:pPr>
        <w:jc w:val="center"/>
        <w:textAlignment w:val="auto"/>
        <w:ind w:left="0" w:right="0" w:start="0" w:end="0"/>
        <w:spacing w:after="0" w:line="240"/>
        <w:bidi w:val="false"/>
        <w:rPr>
          <w:b w:val="true"/>
          <w:spacing w:val="40"/>
          <w:rFonts w:ascii="Times New Roman" w:eastAsia="Times New Roman" w:hAnsi="Times New Roman" w:cs="Times New Roman"/>
          <w:sz w:val="28"/>
        </w:rPr>
      </w:pPr>
    </w:p>
    <w:p>
      <w:pPr>
        <w:jc w:val="center"/>
        <w:textAlignment w:val="auto"/>
        <w:ind w:left="0" w:right="0" w:start="0" w:end="0"/>
        <w:spacing w:after="0" w:line="240"/>
        <w:bidi w:val="false"/>
        <w:rPr>
          <w:b w:val="true"/>
          <w:spacing w:val="40"/>
          <w:rFonts w:ascii="Times New Roman" w:eastAsia="Times New Roman" w:hAnsi="Times New Roman" w:cs="Times New Roman"/>
          <w:sz w:val="28"/>
        </w:rPr>
      </w:pPr>
      <w:r>
        <w:pict>
          <v:shape id="_x0000_s1026" type="#_x0000_t1" style="position:absolute;margin-left:230.649994pt;margin-top:-27.049999pt;margin-bottom:-2.500000pt;margin-right:272.149994pt;width:41.500000pt;height:24.549999pt;z-index:251668240" o:allowincell="true" filled="t" stroked="f"/>
        </w:pict>
      </w:r>
      <w:bookmarkStart w:id="1" w:name="_Hlk120012531"/>
      <w:r>
        <w:rPr>
          <w:b w:val="true"/>
          <w:spacing w:val="40"/>
          <w:rFonts w:ascii="Times New Roman" w:eastAsia="Times New Roman" w:hAnsi="Times New Roman" w:cs="Times New Roman"/>
          <w:sz w:val="28"/>
        </w:rPr>
        <w:t xml:space="preserve">КОМПЛЕКСНЫЙ ПЛАН</w:t>
      </w:r>
    </w:p>
    <w:p>
      <w:pPr>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основных мероприятий администрации на 2024 год</w:t>
      </w:r>
    </w:p>
    <w:p>
      <w:pPr>
        <w:jc w:val="left"/>
        <w:textAlignment w:val="auto"/>
        <w:ind w:left="0" w:right="0" w:start="0" w:end="0"/>
        <w:spacing w:after="0" w:line="240"/>
        <w:bidi w:val="false"/>
        <w:shd w:fill="ffffff" w:val="clear"/>
        <w:rPr>
          <w:b w:val="true"/>
          <w:rFonts w:ascii="Times New Roman" w:eastAsia="Times New Roman" w:hAnsi="Times New Roman" w:cs="Times New Roman"/>
          <w:sz w:val="24"/>
        </w:rPr>
      </w:pPr>
    </w:p>
    <w:p>
      <w:pPr>
        <w:jc w:val="center"/>
        <w:textAlignment w:val="auto"/>
        <w:ind w:hanging="360" w:left="218" w:right="0" w:start="218" w:end="0"/>
        <w:adjustRightInd w:val="true"/>
        <w:spacing w:after="200" w:line="240"/>
        <w:contextualSpacing w:val="true"/>
        <w:bidi w:val="false"/>
        <w:numPr>
          <w:ilvl w:val="0"/>
          <w:numId w:val="17"/>
        </w:numPr>
        <w:shd w:fill="ffffff" w:val="clear"/>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БЮДЖЕТНАЯ ПОЛИТИКА</w:t>
      </w:r>
    </w:p>
    <w:tbl>
      <w:tblPr>
        <w:tblLayout w:type="fixed"/>
        <w:tblInd w:w="108" w:type="dxa"/>
        <w:tblW w:w="4985" w:type="pct"/>
        <w:tblCellMar>
          <w:bottom w:w="0" w:type="dxa"/>
          <w:left w:w="108" w:type="dxa"/>
          <w:right w:w="108" w:type="dxa"/>
          <w:top w:w="0" w:type="dxa"/>
        </w:tblCellMar>
        <w:tblBorders>
          <w:left w:sz="4" w:space="0" w:val="single"/>
          <w:right w:sz="4" w:space="0" w:val="single"/>
          <w:top w:sz="4" w:space="0" w:val="single"/>
          <w:bottom w:sz="4" w:space="0" w:val="single"/>
          <w:insideV w:sz="4" w:space="0" w:val="single"/>
          <w:insideH w:sz="4" w:space="0" w:val="single"/>
        </w:tblBorders>
      </w:tblPr>
      <w:tblGrid>
        <w:gridCol w:w="531"/>
        <w:gridCol w:w="4287"/>
        <w:gridCol w:w="2127"/>
        <w:gridCol w:w="1844"/>
        <w:gridCol w:w="1318"/>
      </w:tblGrid>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b w:val="true"/>
                <w:rFonts w:ascii="Times New Roman" w:eastAsia="Times New Roman" w:hAnsi="Times New Roman" w:cs="Times New Roman"/>
                <w:sz w:val="22"/>
              </w:rPr>
            </w:pPr>
            <w:r>
              <w:rPr>
                <w:b w:val="true"/>
                <w:rFonts w:ascii="Times New Roman" w:eastAsia="Times New Roman" w:hAnsi="Times New Roman" w:cs="Times New Roman"/>
                <w:sz w:val="22"/>
              </w:rPr>
              <w:t xml:space="preserve">№ п/п</w:t>
            </w:r>
          </w:p>
        </w:tc>
        <w:tc>
          <w:tcPr>
            <w:tcW w:type="dxa" w:w="428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b w:val="true"/>
                <w:rFonts w:ascii="Times New Roman" w:eastAsia="Times New Roman" w:hAnsi="Times New Roman" w:cs="Times New Roman"/>
                <w:sz w:val="22"/>
              </w:rPr>
            </w:pPr>
            <w:r>
              <w:rPr>
                <w:b w:val="true"/>
                <w:rFonts w:ascii="Times New Roman" w:eastAsia="Times New Roman" w:hAnsi="Times New Roman" w:cs="Times New Roman"/>
                <w:sz w:val="22"/>
              </w:rPr>
              <w:t xml:space="preserve">Содержание мероприятия</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b w:val="true"/>
                <w:rFonts w:ascii="Times New Roman" w:eastAsia="Times New Roman" w:hAnsi="Times New Roman" w:cs="Times New Roman"/>
                <w:sz w:val="22"/>
              </w:rPr>
            </w:pPr>
            <w:r>
              <w:rPr>
                <w:b w:val="true"/>
                <w:rFonts w:ascii="Times New Roman" w:eastAsia="Times New Roman" w:hAnsi="Times New Roman" w:cs="Times New Roman"/>
                <w:sz w:val="22"/>
              </w:rPr>
              <w:t xml:space="preserve">Вид документа, подлежащего разработке</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b w:val="true"/>
                <w:rFonts w:ascii="Times New Roman" w:eastAsia="Times New Roman" w:hAnsi="Times New Roman" w:cs="Times New Roman"/>
                <w:sz w:val="22"/>
              </w:rPr>
            </w:pPr>
            <w:r>
              <w:rPr>
                <w:b w:val="true"/>
                <w:rFonts w:ascii="Times New Roman" w:eastAsia="Times New Roman" w:hAnsi="Times New Roman" w:cs="Times New Roman"/>
                <w:sz w:val="22"/>
              </w:rPr>
              <w:t xml:space="preserve">Срок исполнения</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b w:val="true"/>
                <w:rFonts w:ascii="Times New Roman" w:eastAsia="Times New Roman" w:hAnsi="Times New Roman" w:cs="Times New Roman"/>
                <w:sz w:val="22"/>
              </w:rPr>
            </w:pPr>
            <w:r>
              <w:rPr>
                <w:b w:val="true"/>
                <w:rFonts w:ascii="Times New Roman" w:eastAsia="Times New Roman" w:hAnsi="Times New Roman" w:cs="Times New Roman"/>
                <w:sz w:val="22"/>
              </w:rPr>
              <w:t xml:space="preserve">Ответственный за выполнение мероприятия</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 мерах по реализации решения Совета депутатов «О бюджете Пикалевского городского поселения на 2024 год и на плановый период 2025 и 2026 годов»</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администрации</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Январь- февраль</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ОФиЭ</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color w:val="ff0000"/>
              </w:rPr>
            </w:pPr>
            <w:r>
              <w:rPr>
                <w:rFonts w:ascii="Times New Roman" w:eastAsia="Times New Roman" w:hAnsi="Times New Roman" w:cs="Times New Roman"/>
                <w:sz w:val="24"/>
              </w:rPr>
              <w:t xml:space="preserve">Об утверждении Плана мероприятий по росту доходов, оптимизации расходов и совершенствованию долговой политики Пикалевского городского поселения на 2024 год</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распоряжения администрации</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Февраль</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 проведении публичных слушаний об исполнении бюджета Пикалевского городского поселения за 2023 год</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решения</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Совета депутатов</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Апрель-май</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Об исполнении бюджета Пикалевского городского поселения за 2023 год </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решения</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Совета депутатов</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 01 мая</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 внесении изменений и дополнений в Положение о бюджетном процессе в Пикалевском городском поселении</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решения</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Совета депутатов</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квартал</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rPr>
          <w:trHeight w:val="959" w:hRule="exact"/>
        </w:trP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Об исполнении бюджета Пикалевского городского поселения за 1 квартал, 1 полугодие и 9 месяцев 2024 года</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администрации</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истечении отчетного периода</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rPr>
          <w:trHeight w:val="1128" w:hRule="exact"/>
        </w:trP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 разработке проекта бюджета Пикалевского городского поселения на 2025 год и на плановый период 2026 и 2027 годов</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администрации</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 квартал</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 планировании бюджетных ассигнований Пикалевского городского поселения на 2024 год и на плановый период 2025 и 2026 годов </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распоряжения администрации</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квартал</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 бюджете Пикалевского городского поселения на 2025 год и на плановый период 2026 и 2027 годов</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решения Совета депутатов</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 15 ноября</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Об установлении срока составления и утверждения бюджета Пикалевского городского поселения </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решения Совета депутатов</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 квартал</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11</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 проведении публичных слушаний по проекту бюджета Пикалевского городского поселения на 2025 год и на плановый период 2026 и 2027 годов</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решения Совета депутатов</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квартал</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12</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 сроках </w:t>
            </w:r>
            <w:r>
              <w:rPr>
                <w:rFonts w:ascii="Times New Roman" w:eastAsia="Times New Roman" w:hAnsi="Times New Roman" w:cs="Times New Roman"/>
                <w:sz w:val="24"/>
                <w:shd w:fill="ffffff" w:val="clear"/>
              </w:rPr>
              <w:t xml:space="preserve">предоставления годовой бюджетной отчетности получателями средств бюджета Пикалевского городского поселения</w:t>
            </w:r>
            <w:r>
              <w:rPr>
                <w:rFonts w:ascii="Times New Roman" w:eastAsia="Times New Roman" w:hAnsi="Times New Roman" w:cs="Times New Roman"/>
                <w:sz w:val="24"/>
              </w:rPr>
              <w:t xml:space="preserve"> </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 администрации</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квартал</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 сроках </w:t>
            </w:r>
            <w:r>
              <w:rPr>
                <w:rFonts w:ascii="Times New Roman" w:eastAsia="Times New Roman" w:hAnsi="Times New Roman" w:cs="Times New Roman"/>
                <w:sz w:val="24"/>
                <w:shd w:fill="ffffff" w:val="clear"/>
              </w:rPr>
              <w:t xml:space="preserve">предоставления годовой бюджетной отчетности получателями средств бюджета Пикалевского городского поселения</w:t>
            </w:r>
            <w:r>
              <w:rPr>
                <w:rFonts w:ascii="Times New Roman" w:eastAsia="Times New Roman" w:hAnsi="Times New Roman" w:cs="Times New Roman"/>
                <w:sz w:val="24"/>
              </w:rPr>
              <w:t xml:space="preserve"> </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 администрации</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 квартал</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14</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и сдача отчетов об исполнении бюджета Пикалевского городского поселения</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Утвержденная форма</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Ежемесячно,</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ежеквартально</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15</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рабочих совещаний с получателями средств бюджета Пикалевского городского поселения по вопросам исполнения бюджета</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Протокол</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Ежеквартально</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rPr>
          <w:trHeight w:val="567" w:hRule="atLeast"/>
        </w:trP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16</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Ведение реестра расходных обязательств Пикалевского городского поселения</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Информационная база данных</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17</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 внесении изменений и дополнений в Решение о бюджете Пикалевского городского поселения на 2024 год и на плановый период 2025 и 2026 годов</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решения Совета депутатов</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rPr>
          <w:trHeight w:val="359" w:hRule="atLeast"/>
        </w:trP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18</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заседаний комиссии по рассмотрению вопросов, связанных с неуплатой на территории Пикалевского городского поселения налоговых и неналоговых платежей и сборов</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Протокол</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Ежеквартально</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rPr>
          <w:trHeight w:val="359" w:hRule="atLeast"/>
        </w:trP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мониторинга состояния кредиторской задолженности бюджетных учреждений</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Утвержденная форма</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Ежеквартально</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rPr>
          <w:trHeight w:val="359" w:hRule="atLeast"/>
        </w:trP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и предоставление главе администрации отчета по Плану мероприятий по росту доходов, оптимизации расходов и совершенствованию долговой политики Пикалевского городского поселения за 2024 год</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Произвольная форма</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Ежеквартально</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rPr>
          <w:trHeight w:val="359" w:hRule="atLeast"/>
        </w:trP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 порядках предоставления субсидий </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 администрации</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Декабрь</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rPr>
          <w:trHeight w:val="359" w:hRule="atLeast"/>
        </w:trP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22</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и представление главе администрации отчета о результатах проведения контрольных мероприятий по осуществлению внутреннего финансового контроля в 2023 году</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Произвольная форма</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 1 марта</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rPr>
          <w:trHeight w:val="359" w:hRule="atLeast"/>
        </w:trP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23</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 проведении внепланового контрольного мероприятия по осуществлению внутреннего финансового контроля </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распоряжения администрации</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rPr>
          <w:trHeight w:val="359" w:hRule="atLeast"/>
        </w:trP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24</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 проведении плановых контрольных мероприятий по осуществлению внутреннего финансового контроля </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распоряжения администрации</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Согласно Плану контрольных мероприятий на 2024 год</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rPr>
          <w:trHeight w:val="359" w:hRule="atLeast"/>
        </w:trP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25</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Осуществление контрольных мероприятий по внутреннему финансовому контролю </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Акт проверки (ревизии)</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Согласно Плану контрольных мероприятий на 2024 год</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rPr>
          <w:trHeight w:val="359" w:hRule="atLeast"/>
        </w:trP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26</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результатов проведения контрольных мероприятий по внутреннему финансовому контролю </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Представления, предписания, уведомления о применении бюджетных мер принуждения</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30 рабочих дней со дня принятия решения об их направлении</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rPr>
          <w:trHeight w:val="624" w:hRule="atLeast"/>
        </w:trP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Об утверждении Плана контрольных мероприятий на 2025 год</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распоряжения администрации</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 30 декабря </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rPr>
          <w:trHeight w:val="624" w:hRule="atLeast"/>
        </w:trP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28</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и представление главе администрации отчета о результатах проведения аудиторских мероприятий в 2023 году</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Произвольная форма</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 1 февраля</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29</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 проведении плановых аудиторских мероприятий </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Произвольная форма</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Согласно Плану аудиторских мероприятий на 2024 год</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30</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Осуществление аудиторских мероприятий</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Акт</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Согласно Плану аудиторских мероприятий на 2024 год</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31</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результатов проведения аудиторских мероприятий</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Заключение по аудиторскому мероприятию</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Дата окончания аудиторского мероприятия</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32</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Составление и ведение реестра бюджетных рисков администрации Пикалевского городского поселения</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Утвержденная форма</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3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33</w:t>
            </w:r>
          </w:p>
        </w:tc>
        <w:tc>
          <w:tcPr>
            <w:tcW w:type="dxa" w:w="428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Об утверждении Плана аудиторских мероприятий на 2025 год</w:t>
            </w:r>
          </w:p>
        </w:tc>
        <w:tc>
          <w:tcPr>
            <w:tcW w:type="dxa" w:w="2127"/>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распоряжения администрации</w:t>
            </w:r>
          </w:p>
        </w:tc>
        <w:tc>
          <w:tcPr>
            <w:tcW w:type="dxa" w:w="1844"/>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 30 декабря </w:t>
            </w:r>
          </w:p>
        </w:tc>
        <w:tc>
          <w:tcPr>
            <w:tcW w:type="dxa" w:w="131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bl>
    <w:p>
      <w:pPr>
        <w:jc w:val="center"/>
        <w:textAlignment w:val="auto"/>
        <w:ind w:left="0" w:right="0" w:start="0" w:end="0"/>
        <w:spacing w:after="0" w:line="240"/>
        <w:bidi w:val="false"/>
        <w:shd w:fill="ffffff" w:val="clear"/>
        <w:rPr>
          <w:b w:val="true"/>
          <w:rFonts w:ascii="Times New Roman" w:eastAsia="Times New Roman" w:hAnsi="Times New Roman" w:cs="Times New Roman"/>
          <w:sz w:val="20"/>
        </w:rPr>
      </w:pPr>
      <w:bookmarkEnd w:id="1"/>
    </w:p>
    <w:p>
      <w:pPr>
        <w:jc w:val="center"/>
        <w:textAlignment w:val="auto"/>
        <w:ind w:hanging="360" w:left="218" w:right="0" w:start="218" w:end="0"/>
        <w:adjustRightInd w:val="true"/>
        <w:spacing w:after="200" w:line="240"/>
        <w:contextualSpacing w:val="true"/>
        <w:bidi w:val="false"/>
        <w:numPr>
          <w:ilvl w:val="0"/>
          <w:numId w:val="17"/>
        </w:numPr>
        <w:shd w:fill="ffffff" w:val="clear"/>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ЭКОНОМИЧЕСКОЕ РАЗВИТИЕ МУНИЦИПАЛЬНОГО ОБРАЗОВАНИЯ</w:t>
      </w:r>
    </w:p>
    <w:tbl>
      <w:tblPr>
        <w:tblLayout w:type="fixed"/>
        <w:tblInd w:w="108" w:type="dxa"/>
        <w:tblW w:w="4964" w:type="pct"/>
        <w:tblCellMar>
          <w:bottom w:w="0" w:type="dxa"/>
          <w:left w:w="108" w:type="dxa"/>
          <w:right w:w="108" w:type="dxa"/>
          <w:top w:w="0" w:type="dxa"/>
        </w:tblCellMar>
        <w:tblBorders>
          <w:left w:sz="4" w:space="0" w:val="single"/>
          <w:right w:sz="4" w:space="0" w:val="single"/>
          <w:top w:sz="4" w:space="0" w:val="single"/>
          <w:bottom w:sz="4" w:space="0" w:val="single"/>
          <w:insideV w:sz="4" w:space="0" w:val="single"/>
          <w:insideH w:sz="4" w:space="0" w:val="single"/>
        </w:tblBorders>
      </w:tblPr>
      <w:tblGrid>
        <w:gridCol w:w="565"/>
        <w:gridCol w:w="4260"/>
        <w:gridCol w:w="2200"/>
        <w:gridCol w:w="1765"/>
        <w:gridCol w:w="1274"/>
      </w:tblGrid>
      <w:t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b w:val="true"/>
                <w:rFonts w:ascii="Times New Roman" w:eastAsia="Times New Roman" w:hAnsi="Times New Roman" w:cs="Times New Roman"/>
                <w:sz w:val="24"/>
              </w:rPr>
            </w:pPr>
            <w:r>
              <w:rPr>
                <w:rFonts w:ascii="Times New Roman" w:eastAsia="Times New Roman" w:hAnsi="Times New Roman" w:cs="Times New Roman"/>
                <w:sz w:val="24"/>
              </w:rPr>
              <w:t xml:space="preserve">Подготовка отчётности за 2023 год о реализации мероприятий муниципальной программы </w:t>
            </w:r>
            <w:r>
              <w:rPr>
                <w:rFonts w:ascii="Times New Roman" w:eastAsia="Times New Roman" w:hAnsi="Times New Roman" w:cs="Times New Roman"/>
                <w:sz w:val="24"/>
                <w:color w:val="000000"/>
              </w:rPr>
              <w:t xml:space="preserve">«</w:t>
            </w:r>
            <w:r>
              <w:rPr>
                <w:rFonts w:ascii="Times New Roman" w:eastAsia="Times New Roman" w:hAnsi="Times New Roman" w:cs="Times New Roman"/>
                <w:sz w:val="24"/>
              </w:rPr>
              <w:t xml:space="preserve">Развитие малого и среднего предпринимательства </w:t>
            </w:r>
            <w:r>
              <w:rPr>
                <w:rFonts w:ascii="Times New Roman" w:eastAsia="Times New Roman" w:hAnsi="Times New Roman" w:cs="Times New Roman"/>
                <w:sz w:val="24"/>
                <w:color w:val="000000"/>
              </w:rPr>
              <w:t xml:space="preserve">на территории муниципального образования </w:t>
            </w:r>
            <w:r>
              <w:rPr>
                <w:rFonts w:ascii="Times New Roman" w:eastAsia="Times New Roman" w:hAnsi="Times New Roman" w:cs="Times New Roman"/>
                <w:sz w:val="24"/>
              </w:rPr>
              <w:t xml:space="preserve">Пикалевское городское поселение Бокситогорского муниципального района Ленинградской области</w:t>
            </w:r>
            <w:r>
              <w:rPr>
                <w:rFonts w:ascii="Times New Roman" w:eastAsia="Times New Roman" w:hAnsi="Times New Roman" w:cs="Times New Roman"/>
                <w:sz w:val="24"/>
                <w:color w:val="000000"/>
              </w:rPr>
              <w:t xml:space="preserve"> (моногорода)» </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Отчёт</w:t>
            </w:r>
          </w:p>
          <w:p>
            <w:pPr>
              <w:jc w:val="center"/>
              <w:textAlignment w:val="auto"/>
              <w:ind w:left="0" w:right="0" w:start="0" w:end="0"/>
              <w:spacing w:after="0" w:line="240"/>
              <w:bidi w:val="false"/>
              <w:rPr>
                <w:rFonts w:ascii="Times New Roman" w:eastAsia="Times New Roman" w:hAnsi="Times New Roman" w:cs="Times New Roman"/>
                <w:sz w:val="24"/>
              </w:rPr>
            </w:pP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Ежеквартально, годовая</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Отдел организационного и правового обеспечения (ООиПО),</w:t>
            </w:r>
          </w:p>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ОУМИ, Фонд</w:t>
            </w:r>
          </w:p>
        </w:tc>
      </w:tr>
      <w:tr>
        <w:tc>
          <w:tcPr>
            <w:tcW w:type="dxa" w:w="565"/>
            <w:tcBorders>
              <w:left w:sz="4" w:val="single"/>
              <w:top w:val="nil"/>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p>
        </w:tc>
        <w:tc>
          <w:tcPr>
            <w:tcW w:type="dxa" w:w="4260"/>
            <w:tcBorders>
              <w:left w:sz="4" w:val="single"/>
              <w:top w:val="nil"/>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отчёта по созданным рабочим местам в монопрофильных муниципальных образованиях Российской Федерации (моногорода)</w:t>
            </w:r>
          </w:p>
        </w:tc>
        <w:tc>
          <w:tcPr>
            <w:tcW w:type="dxa" w:w="2200"/>
            <w:tcBorders>
              <w:left w:sz="4" w:val="single"/>
              <w:top w:val="nil"/>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Установленная форма</w:t>
            </w:r>
          </w:p>
        </w:tc>
        <w:tc>
          <w:tcPr>
            <w:tcW w:type="dxa" w:w="1765"/>
            <w:tcBorders>
              <w:left w:sz="4" w:val="single"/>
              <w:top w:val="nil"/>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Ежеквартально</w:t>
            </w:r>
          </w:p>
        </w:tc>
        <w:tc>
          <w:tcPr>
            <w:tcW w:type="dxa" w:w="1274"/>
            <w:tcBorders>
              <w:left w:sz="4" w:val="single"/>
              <w:top w:val="nil"/>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Осуществление комплексного мониторинга социально-экономического положения монопрофильных муниципальных образований Российской Федерации (моногородов)</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Установленные формы, аналитическая записка</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Ежемесячно, ежеквартально (ГАСУ, ГФИ)</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112" w:start="-5" w:end="-112"/>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b w:val="true"/>
                <w:rFonts w:ascii="Times New Roman" w:eastAsia="Times New Roman" w:hAnsi="Times New Roman" w:cs="Times New Roman"/>
                <w:sz w:val="24"/>
              </w:rPr>
            </w:pPr>
            <w:r>
              <w:rPr>
                <w:rFonts w:ascii="Times New Roman" w:eastAsia="Times New Roman" w:hAnsi="Times New Roman" w:cs="Times New Roman"/>
                <w:sz w:val="24"/>
              </w:rPr>
              <w:t xml:space="preserve">Подготовка Отчета по основным показателям социально-экономического развития муниципального образования Пикалевское городское поселение Бокситогорского муниципального района Ленинградской области</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Отчёт по установленной форме, пояснительная записка</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Ежеквартально</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112" w:start="-5" w:end="-112"/>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65"/>
            <w:tcBorders>
              <w:left w:sz="4" w:val="single"/>
              <w:top w:val="nil"/>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w:t>
            </w:r>
          </w:p>
        </w:tc>
        <w:tc>
          <w:tcPr>
            <w:tcW w:type="dxa" w:w="4260"/>
            <w:tcBorders>
              <w:left w:sz="4" w:val="single"/>
              <w:top w:val="nil"/>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Подведение итогов социально-экономического развития Пикалевского городского поселения за 2023 год</w:t>
            </w:r>
          </w:p>
        </w:tc>
        <w:tc>
          <w:tcPr>
            <w:tcW w:type="dxa" w:w="2200"/>
            <w:tcBorders>
              <w:left w:sz="4" w:val="single"/>
              <w:top w:val="nil"/>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Доклад главы, презентация</w:t>
            </w:r>
          </w:p>
        </w:tc>
        <w:tc>
          <w:tcPr>
            <w:tcW w:type="dxa" w:w="1765"/>
            <w:tcBorders>
              <w:left w:sz="4" w:val="single"/>
              <w:top w:val="nil"/>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Февраль 2024 года</w:t>
            </w:r>
          </w:p>
        </w:tc>
        <w:tc>
          <w:tcPr>
            <w:tcW w:type="dxa" w:w="1274"/>
            <w:tcBorders>
              <w:left w:sz="4" w:val="single"/>
              <w:top w:val="nil"/>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ОФиЭ, ООиПО, ОУМИ</w:t>
            </w:r>
          </w:p>
          <w:p>
            <w:pPr>
              <w:jc w:val="center"/>
              <w:textAlignment w:val="auto"/>
              <w:ind w:left="-115" w:right="-105" w:start="-115" w:end="-105"/>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ОЖКХ,ТиК</w:t>
            </w:r>
          </w:p>
        </w:tc>
      </w:tr>
      <w:t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отчёта по хозяйствующим объектам, осуществляющих торговую деятельность на территории Пикалевского городского поселения </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Установленная форма</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Февраль</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отчёта по объектам бытового обслуживания и общественного питания, осуществляющим деятельность на территории Пикалевского городского поселения </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Установленная форма</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Февраль</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сведений о числе торговых мест на ярмарках </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Форма 3-Ярмарка</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Ежеквартально</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c>
          <w:tcPr>
            <w:tcW w:type="dxa" w:w="565"/>
            <w:tcBorders>
              <w:left w:sz="4" w:val="single"/>
              <w:top w:val="nil"/>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p>
        </w:tc>
        <w:tc>
          <w:tcPr>
            <w:tcW w:type="dxa" w:w="4260"/>
            <w:tcBorders>
              <w:left w:sz="4" w:val="single"/>
              <w:top w:val="nil"/>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Осуществление мониторинга реализации муниципальных программ</w:t>
            </w:r>
          </w:p>
        </w:tc>
        <w:tc>
          <w:tcPr>
            <w:tcW w:type="dxa" w:w="2200"/>
            <w:tcBorders>
              <w:left w:sz="4" w:val="single"/>
              <w:top w:val="nil"/>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Отчёт</w:t>
            </w:r>
          </w:p>
        </w:tc>
        <w:tc>
          <w:tcPr>
            <w:tcW w:type="dxa" w:w="1765"/>
            <w:tcBorders>
              <w:left w:sz="4" w:val="single"/>
              <w:top w:val="nil"/>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Ежеквартально</w:t>
            </w:r>
          </w:p>
        </w:tc>
        <w:tc>
          <w:tcPr>
            <w:tcW w:type="dxa" w:w="1274"/>
            <w:tcBorders>
              <w:left w:sz="4" w:val="single"/>
              <w:top w:val="nil"/>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ОФиЭ, ООиПО, ОУМИ</w:t>
            </w:r>
          </w:p>
          <w:p>
            <w:pPr>
              <w:jc w:val="center"/>
              <w:textAlignment w:val="auto"/>
              <w:ind w:left="-115" w:right="-112" w:start="-115" w:end="-112"/>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ОЖКХ,ТиК</w:t>
            </w:r>
          </w:p>
        </w:tc>
      </w:tr>
      <w:tr>
        <w:trPr>
          <w:trHeight w:val="273" w:hRule="atLeast"/>
        </w:trP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Годового доклада о ходе реализации и об оценке эффективности реализации муниципальных программ Пикалевского городского поселения</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Доклад</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Февраль</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ОФиЭ, ООиПО, ОУМИ</w:t>
            </w:r>
          </w:p>
          <w:p>
            <w:pPr>
              <w:jc w:val="center"/>
              <w:textAlignment w:val="auto"/>
              <w:ind w:left="-257" w:right="-112" w:start="-257" w:end="-112"/>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ОЖКХ,ТиК</w:t>
            </w:r>
          </w:p>
        </w:tc>
      </w:tr>
      <w:t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11.</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Корректировка Плана-графика закупок товаров, работ, услуг для муниципальных нужд на 2024-2026 годы, размещение на официальном сайте Единой информационной системы в сфере закупок</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План-график</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ОФиЭ, ООиПО, ОУМИ</w:t>
            </w:r>
          </w:p>
          <w:p>
            <w:pPr>
              <w:jc w:val="center"/>
              <w:textAlignment w:val="auto"/>
              <w:ind w:left="-115" w:right="-105" w:start="-115" w:end="-105"/>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ОЖКХ,ТиК</w:t>
            </w:r>
          </w:p>
        </w:tc>
      </w:tr>
      <w:tr>
        <w:trPr>
          <w:trHeight w:val="854" w:hRule="atLeast"/>
        </w:trP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12.</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функций уполномоченного органа по размещению закупок получателей бюджетных средств</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Протоколы заседаний Единой комиссии Пикалевского городского поселения</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ОФиЭ,</w:t>
            </w:r>
          </w:p>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получатели бюджетных средств</w:t>
            </w:r>
          </w:p>
        </w:tc>
      </w:tr>
      <w:t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работы Единой комиссии Пикалевского городского поселения </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Протоколы заседаний ЕК</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ОФиЭ, контрактные управляющие</w:t>
            </w:r>
          </w:p>
        </w:tc>
      </w:tr>
      <w:t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14.</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и размещение в ЕИС Отчета объеме закупок у СМП</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Отчет</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Февраль</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ОФиЭ</w:t>
            </w:r>
          </w:p>
        </w:tc>
      </w:tr>
      <w:t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15.</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Техническое сопровождение закупочного процесса получателей бюджетных средств</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ОФиЭ</w:t>
            </w:r>
          </w:p>
        </w:tc>
      </w:tr>
      <w:t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16.</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Составление и размещение отчетных (квартальных, годовых) данных в ГАСУ (Реестр государственных и муниципальных услуг (функций) Ленинградской области)</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Установленные формы</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Ежеквартально </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115" w:right="-105" w:start="-115" w:end="-105"/>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ООиПО, ОФиЭ, ОУМИ, ОЖКХ,ТиК</w:t>
            </w:r>
          </w:p>
        </w:tc>
      </w:tr>
      <w:t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17.</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Составление формы 1 –МО за 2023 </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Форма</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I полу-годие</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ОФиЭ</w:t>
            </w:r>
          </w:p>
        </w:tc>
      </w:tr>
      <w:tr>
        <w:trPr>
          <w:trHeight w:val="1124" w:hRule="atLeast"/>
        </w:trP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18.</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Корректировка муниципальной программы </w:t>
            </w:r>
            <w:r>
              <w:rPr>
                <w:rFonts w:ascii="Times New Roman" w:eastAsia="Times New Roman" w:hAnsi="Times New Roman" w:cs="Times New Roman"/>
                <w:sz w:val="24"/>
                <w:color w:val="000000"/>
              </w:rPr>
              <w:t xml:space="preserve">«</w:t>
            </w:r>
            <w:r>
              <w:rPr>
                <w:rFonts w:ascii="Times New Roman" w:eastAsia="Times New Roman" w:hAnsi="Times New Roman" w:cs="Times New Roman"/>
                <w:sz w:val="24"/>
              </w:rPr>
              <w:t xml:space="preserve">Развитие малого и среднего предпринимательства </w:t>
            </w:r>
            <w:r>
              <w:rPr>
                <w:rFonts w:ascii="Times New Roman" w:eastAsia="Times New Roman" w:hAnsi="Times New Roman" w:cs="Times New Roman"/>
                <w:sz w:val="24"/>
                <w:color w:val="000000"/>
              </w:rPr>
              <w:t xml:space="preserve">на территории муниципального образования </w:t>
            </w:r>
            <w:r>
              <w:rPr>
                <w:rFonts w:ascii="Times New Roman" w:eastAsia="Times New Roman" w:hAnsi="Times New Roman" w:cs="Times New Roman"/>
                <w:sz w:val="24"/>
              </w:rPr>
              <w:t xml:space="preserve">Пикалевское городское поселение Бокситогорского муниципального района Ленинградской области</w:t>
            </w:r>
            <w:r>
              <w:rPr>
                <w:rFonts w:ascii="Times New Roman" w:eastAsia="Times New Roman" w:hAnsi="Times New Roman" w:cs="Times New Roman"/>
                <w:sz w:val="24"/>
                <w:color w:val="000000"/>
              </w:rPr>
              <w:t xml:space="preserve"> (моногорода))» </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нормативных правовых актов в сфере поддержки и развития субъектов малого и среднего предпринимательства</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Проекты постановлений</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и проведение заседаний Комиссии по проведению конкурсного отбора по предоставлению субсидий субъектам малого и среднего предпринимательства</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Протокол комиссии</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ООиПО, Фонд</w:t>
            </w:r>
          </w:p>
        </w:tc>
      </w:tr>
      <w:tr>
        <w:tc>
          <w:tcPr>
            <w:tcW w:type="dxa" w:w="565"/>
            <w:tcBorders>
              <w:left w:sz="4" w:val="single"/>
              <w:top w:val="nil"/>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p>
        </w:tc>
        <w:tc>
          <w:tcPr>
            <w:tcW w:type="dxa" w:w="4260"/>
            <w:tcBorders>
              <w:left w:sz="4" w:val="single"/>
              <w:top w:val="nil"/>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договоров на предоставление субсидий субъектам малого и среднего предпринимательства по итогам конкурсного отбора</w:t>
            </w:r>
          </w:p>
        </w:tc>
        <w:tc>
          <w:tcPr>
            <w:tcW w:type="dxa" w:w="2200"/>
            <w:tcBorders>
              <w:left w:sz="4" w:val="single"/>
              <w:top w:val="nil"/>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Проекты договоров</w:t>
            </w:r>
          </w:p>
        </w:tc>
        <w:tc>
          <w:tcPr>
            <w:tcW w:type="dxa" w:w="1765"/>
            <w:tcBorders>
              <w:left w:sz="4" w:val="single"/>
              <w:top w:val="nil"/>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274"/>
            <w:tcBorders>
              <w:left w:sz="4" w:val="single"/>
              <w:top w:val="nil"/>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22.</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Направление сведений в Единый реестр получателей поддержки</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23.</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прогноза социально-экономического развития Пикалевского городского поселения на 2025-2027 годы</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Прогноз</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Июнь-август</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ОФиЭ, ООиПО, ОУМИ</w:t>
            </w:r>
          </w:p>
          <w:p>
            <w:pPr>
              <w:jc w:val="center"/>
              <w:textAlignment w:val="auto"/>
              <w:ind w:left="-115" w:right="-105" w:start="-115" w:end="-105"/>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ОЖКХ,ТиК</w:t>
            </w:r>
          </w:p>
        </w:tc>
      </w:tr>
      <w:t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24.</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Ведение Похозяйственной книги; выдача Выписок из Похозяйственной книги</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Установленная форма</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обращений</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25.</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и проведение проведения заседаний Балансовой комиссии</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Протоколы комиссий</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II квартал</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rPr>
          <w:trHeight w:val="568" w:hRule="atLeast"/>
        </w:trPr>
        <w:tc>
          <w:tcPr>
            <w:tcW w:type="dxa" w:w="5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26.</w:t>
            </w:r>
          </w:p>
        </w:tc>
        <w:tc>
          <w:tcPr>
            <w:tcW w:type="dxa" w:w="4260"/>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и проведение проведения заседаний Тарифной комиссии</w:t>
            </w:r>
          </w:p>
        </w:tc>
        <w:tc>
          <w:tcPr>
            <w:tcW w:type="dxa" w:w="220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Протоколы комиссий</w:t>
            </w:r>
          </w:p>
        </w:tc>
        <w:tc>
          <w:tcPr>
            <w:tcW w:type="dxa" w:w="1765"/>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обращения</w:t>
            </w:r>
          </w:p>
        </w:tc>
        <w:tc>
          <w:tcPr>
            <w:tcW w:type="dxa" w:w="1274"/>
            <w:tcBorders>
              <w:left w:sz="4" w:val="single"/>
              <w:top w:sz="4" w:val="single"/>
              <w:right w:sz="4" w:val="single"/>
              <w:bottom w:sz="4" w:val="single"/>
            </w:tcBorders>
            <w:shd w:val="nil"/>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ОФиЭ</w:t>
            </w:r>
          </w:p>
        </w:tc>
      </w:tr>
      <w:tr>
        <w:tc>
          <w:tcPr>
            <w:tcW w:type="dxa" w:w="565"/>
            <w:tcBorders>
              <w:left w:sz="4" w:val="single"/>
              <w:top w:sz="4" w:val="single"/>
              <w:right w:sz="4" w:val="single"/>
              <w:bottom w:sz="4"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w:t>
            </w:r>
          </w:p>
        </w:tc>
        <w:tc>
          <w:tcPr>
            <w:tcW w:type="dxa" w:w="4260"/>
            <w:tcBorders>
              <w:left w:sz="4" w:val="single"/>
              <w:top w:sz="4" w:val="single"/>
              <w:right w:sz="4" w:val="single"/>
              <w:bottom w:sz="4" w:val="single"/>
            </w:tcBorders>
            <w:shd w:fill="ffffff" w:val="clear"/>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регламентов оказания муниципальных услуг, внесение изменений в действующие регламенты, подготовка запросов, ответов на запросы по межведомственному взаимодействию</w:t>
            </w:r>
          </w:p>
        </w:tc>
        <w:tc>
          <w:tcPr>
            <w:tcW w:type="dxa" w:w="2200"/>
            <w:tcBorders>
              <w:left w:sz="4" w:val="single"/>
              <w:top w:sz="4" w:val="single"/>
              <w:right w:sz="4" w:val="single"/>
              <w:bottom w:sz="4"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 запрос,</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ответ на запрос</w:t>
            </w:r>
          </w:p>
        </w:tc>
        <w:tc>
          <w:tcPr>
            <w:tcW w:type="dxa" w:w="1765"/>
            <w:tcBorders>
              <w:left w:sz="4" w:val="single"/>
              <w:top w:sz="4" w:val="single"/>
              <w:right w:sz="4" w:val="single"/>
              <w:bottom w:sz="4"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274"/>
            <w:tcBorders>
              <w:left w:sz="4" w:val="single"/>
              <w:top w:sz="4" w:val="single"/>
              <w:right w:sz="4" w:val="single"/>
              <w:bottom w:sz="4" w:val="single"/>
            </w:tcBorders>
            <w:shd w:fill="ffffff" w:val="clear"/>
            <w:vAlign w:val="top"/>
            <w:textDirection w:val="lrTb"/>
            <w:gridSpan w:val="1"/>
          </w:tcPr>
          <w:p>
            <w:pPr>
              <w:jc w:val="center"/>
              <w:textAlignment w:val="auto"/>
              <w:ind w:left="-5" w:right="0" w:start="-5"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bl>
    <w:p>
      <w:pPr>
        <w:jc w:val="center"/>
        <w:textAlignment w:val="auto"/>
        <w:ind w:hanging="360" w:left="218" w:right="0" w:start="218" w:end="0"/>
        <w:adjustRightInd w:val="true"/>
        <w:spacing w:after="200" w:line="240"/>
        <w:contextualSpacing w:val="true"/>
        <w:bidi w:val="false"/>
        <w:numPr>
          <w:ilvl w:val="0"/>
          <w:numId w:val="17"/>
        </w:numPr>
        <w:shd w:fill="ffffff" w:val="clear"/>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УЧЕТ И ОТЧЕТНОСТЬ</w:t>
      </w:r>
    </w:p>
    <w:tbl>
      <w:tblPr>
        <w:tblLayout w:type="fixed"/>
        <w:tblInd w:w="40" w:type="dxa"/>
        <w:tblW w:w="10065" w:type="dxa"/>
        <w:tblCellMar>
          <w:bottom w:w="0" w:type="dxa"/>
          <w:left w:w="40" w:type="dxa"/>
          <w:right w:w="40" w:type="dxa"/>
          <w:top w:w="0" w:type="dxa"/>
        </w:tblCellMar>
        <w:tblBorders>
          <w:left w:sz="0" w:space="0" w:val="nil"/>
          <w:right w:sz="0" w:space="0" w:val="nil"/>
          <w:top w:sz="0" w:space="0" w:val="nil"/>
          <w:bottom w:sz="0" w:space="0" w:val="nil"/>
          <w:insideV w:sz="0" w:space="0" w:val="nil"/>
          <w:insideH w:sz="0" w:space="0" w:val="nil"/>
        </w:tblBorders>
      </w:tblPr>
      <w:tblGrid>
        <w:gridCol w:w="540"/>
        <w:gridCol w:w="3713"/>
        <w:gridCol w:w="2410"/>
        <w:gridCol w:w="1985"/>
        <w:gridCol w:w="1417"/>
      </w:tblGrid>
      <w:tr>
        <w:trPr>
          <w:trHeight w:val="878" w:hRule="exact"/>
        </w:trPr>
        <w:tc>
          <w:tcPr>
            <w:tcW w:type="dxa" w:w="54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w:t>
            </w:r>
          </w:p>
        </w:tc>
        <w:tc>
          <w:tcPr>
            <w:tcW w:type="dxa" w:w="3713"/>
            <w:tcBorders>
              <w:left w:sz="6" w:val="single"/>
              <w:top w:sz="6" w:val="single"/>
              <w:right w:sz="6" w:val="single"/>
              <w:bottom w:sz="6" w:val="single"/>
            </w:tcBorders>
            <w:shd w:fill="ffffff" w:val="clear"/>
            <w:vAlign w:val="top"/>
            <w:textDirection w:val="lrTb"/>
            <w:gridSpan w:val="1"/>
          </w:tcPr>
          <w:p>
            <w:pPr>
              <w:jc w:val="both"/>
              <w:textAlignment w:val="auto"/>
              <w:ind w:firstLine="10" w:left="0" w:right="0" w:start="0" w:end="0"/>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и сдача месячной, квартальной и годовой отчетности</w:t>
            </w:r>
          </w:p>
        </w:tc>
        <w:tc>
          <w:tcPr>
            <w:tcW w:type="dxa" w:w="241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Отчет по утвержденной форме</w:t>
            </w:r>
          </w:p>
        </w:tc>
        <w:tc>
          <w:tcPr>
            <w:tcW w:type="dxa" w:w="1985"/>
            <w:tcBorders>
              <w:left w:sz="6" w:val="single"/>
              <w:top w:sz="6" w:val="single"/>
              <w:right w:sz="6" w:val="single"/>
              <w:bottom w:sz="6" w:val="single"/>
            </w:tcBorders>
            <w:shd w:fill="ffffff" w:val="clear"/>
            <w:vAlign w:val="top"/>
            <w:textDirection w:val="lrTb"/>
            <w:gridSpan w:val="1"/>
          </w:tcPr>
          <w:p>
            <w:pPr>
              <w:jc w:val="center"/>
              <w:textAlignment w:val="auto"/>
              <w:ind w:left="28" w:right="0" w:start="2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 установленные сроки</w:t>
            </w:r>
          </w:p>
        </w:tc>
        <w:tc>
          <w:tcPr>
            <w:tcW w:type="dxa" w:w="1417"/>
            <w:tcBorders>
              <w:left w:sz="6" w:val="single"/>
              <w:top w:sz="6" w:val="single"/>
              <w:right w:sz="6" w:val="single"/>
              <w:bottom w:sz="6" w:val="single"/>
            </w:tcBorders>
            <w:shd w:fill="ffffff" w:val="clear"/>
            <w:vAlign w:val="top"/>
            <w:textDirection w:val="lrTb"/>
            <w:gridSpan w:val="1"/>
          </w:tcPr>
          <w:p>
            <w:pPr>
              <w:jc w:val="center"/>
              <w:textAlignment w:val="auto"/>
              <w:ind w:left="28" w:right="0" w:start="2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ОУиО</w:t>
            </w:r>
          </w:p>
        </w:tc>
      </w:tr>
      <w:tr>
        <w:trPr>
          <w:trHeight w:val="1703" w:hRule="exact"/>
        </w:trPr>
        <w:tc>
          <w:tcPr>
            <w:tcW w:type="dxa" w:w="54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w:t>
            </w:r>
          </w:p>
        </w:tc>
        <w:tc>
          <w:tcPr>
            <w:tcW w:type="dxa" w:w="3713"/>
            <w:tcBorders>
              <w:left w:sz="6" w:val="single"/>
              <w:top w:sz="6" w:val="single"/>
              <w:right w:sz="6" w:val="single"/>
              <w:bottom w:sz="6" w:val="single"/>
            </w:tcBorders>
            <w:shd w:fill="ffffff" w:val="clear"/>
            <w:vAlign w:val="top"/>
            <w:textDirection w:val="lrTb"/>
            <w:gridSpan w:val="1"/>
          </w:tcPr>
          <w:p>
            <w:pPr>
              <w:jc w:val="both"/>
              <w:textAlignment w:val="auto"/>
              <w:ind w:firstLine="10" w:left="0" w:right="0" w:start="0" w:end="0"/>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муниципальных правовых актов, связанных с деятельностью ОМСУ Пикалевского городского поселения</w:t>
            </w:r>
          </w:p>
        </w:tc>
        <w:tc>
          <w:tcPr>
            <w:tcW w:type="dxa" w:w="241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решения Совета депутатов,</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постановлений Главы МО и распоряжений администрации</w:t>
            </w:r>
          </w:p>
        </w:tc>
        <w:tc>
          <w:tcPr>
            <w:tcW w:type="dxa" w:w="1985"/>
            <w:tcBorders>
              <w:left w:sz="6" w:val="single"/>
              <w:top w:sz="6" w:val="single"/>
              <w:right w:sz="6" w:val="single"/>
              <w:bottom w:sz="6" w:val="single"/>
            </w:tcBorders>
            <w:shd w:fill="ffffff" w:val="clear"/>
            <w:vAlign w:val="top"/>
            <w:textDirection w:val="lrTb"/>
            <w:gridSpan w:val="1"/>
          </w:tcPr>
          <w:p>
            <w:pPr>
              <w:jc w:val="center"/>
              <w:textAlignment w:val="auto"/>
              <w:ind w:left="28" w:right="0" w:start="2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417"/>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ОУиО</w:t>
            </w:r>
          </w:p>
        </w:tc>
      </w:tr>
      <w:tr>
        <w:trPr>
          <w:trHeight w:val="1732" w:hRule="exact"/>
        </w:trPr>
        <w:tc>
          <w:tcPr>
            <w:tcW w:type="dxa" w:w="54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3.</w:t>
            </w:r>
          </w:p>
        </w:tc>
        <w:tc>
          <w:tcPr>
            <w:tcW w:type="dxa" w:w="3713"/>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Внесение изменений в муниципальные нормативные правовые акты в связи с изменением федерального и регионального законодательства</w:t>
            </w:r>
          </w:p>
        </w:tc>
        <w:tc>
          <w:tcPr>
            <w:tcW w:type="dxa" w:w="241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Проекты решений Совета депутатов</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Проекты постановлений и распоряжений администрации </w:t>
            </w:r>
          </w:p>
        </w:tc>
        <w:tc>
          <w:tcPr>
            <w:tcW w:type="dxa" w:w="19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417"/>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ОУиО</w:t>
            </w:r>
          </w:p>
        </w:tc>
      </w:tr>
      <w:tr>
        <w:trPr>
          <w:trHeight w:val="1998" w:hRule="exact"/>
        </w:trPr>
        <w:tc>
          <w:tcPr>
            <w:tcW w:type="dxa" w:w="54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4.</w:t>
            </w:r>
          </w:p>
        </w:tc>
        <w:tc>
          <w:tcPr>
            <w:tcW w:type="dxa" w:w="3713"/>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Внесение изменений в нормативы для определения нормативных затрат на обеспечение функций администрации Пикалевского городского поселения и подведомственных администрации казенных учреждений</w:t>
            </w:r>
          </w:p>
        </w:tc>
        <w:tc>
          <w:tcPr>
            <w:tcW w:type="dxa" w:w="241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 администрации</w:t>
            </w:r>
          </w:p>
        </w:tc>
        <w:tc>
          <w:tcPr>
            <w:tcW w:type="dxa" w:w="19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417"/>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ОУиО</w:t>
            </w:r>
          </w:p>
        </w:tc>
      </w:tr>
      <w:tr>
        <w:trPr>
          <w:trHeight w:val="1261" w:hRule="exact"/>
        </w:trPr>
        <w:tc>
          <w:tcPr>
            <w:tcW w:type="dxa" w:w="54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5.</w:t>
            </w:r>
          </w:p>
        </w:tc>
        <w:tc>
          <w:tcPr>
            <w:tcW w:type="dxa" w:w="3713"/>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Размещение информации в Государственной информационной системе о государственных и муниципальных платежах</w:t>
            </w:r>
          </w:p>
        </w:tc>
        <w:tc>
          <w:tcPr>
            <w:tcW w:type="dxa" w:w="241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 соответствии с требованиями размещения сведений</w:t>
            </w:r>
          </w:p>
        </w:tc>
        <w:tc>
          <w:tcPr>
            <w:tcW w:type="dxa" w:w="19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417"/>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ОУиО</w:t>
            </w:r>
          </w:p>
        </w:tc>
      </w:tr>
      <w:tr>
        <w:trPr>
          <w:trHeight w:val="1279" w:hRule="exact"/>
        </w:trPr>
        <w:tc>
          <w:tcPr>
            <w:tcW w:type="dxa" w:w="54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6.</w:t>
            </w:r>
          </w:p>
        </w:tc>
        <w:tc>
          <w:tcPr>
            <w:tcW w:type="dxa" w:w="3713"/>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Составление проекта бюджетной сметы администрации Пикалевского городского поселения</w:t>
            </w:r>
          </w:p>
        </w:tc>
        <w:tc>
          <w:tcPr>
            <w:tcW w:type="dxa" w:w="241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Утвержденная форма</w:t>
            </w:r>
          </w:p>
        </w:tc>
        <w:tc>
          <w:tcPr>
            <w:tcW w:type="dxa" w:w="19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3 квартал</w:t>
            </w:r>
          </w:p>
        </w:tc>
        <w:tc>
          <w:tcPr>
            <w:tcW w:type="dxa" w:w="1417"/>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ОУиО</w:t>
            </w:r>
          </w:p>
        </w:tc>
      </w:tr>
      <w:tr>
        <w:trPr>
          <w:trHeight w:val="1137" w:hRule="exact"/>
        </w:trPr>
        <w:tc>
          <w:tcPr>
            <w:tcW w:type="dxa" w:w="54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7.</w:t>
            </w:r>
          </w:p>
        </w:tc>
        <w:tc>
          <w:tcPr>
            <w:tcW w:type="dxa" w:w="3713"/>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Составление проекта бюджетной сметы Совета депутатов Пикалевского городского поселения</w:t>
            </w:r>
          </w:p>
        </w:tc>
        <w:tc>
          <w:tcPr>
            <w:tcW w:type="dxa" w:w="241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Утвержденная форма</w:t>
            </w:r>
          </w:p>
        </w:tc>
        <w:tc>
          <w:tcPr>
            <w:tcW w:type="dxa" w:w="19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3 квартал</w:t>
            </w:r>
          </w:p>
        </w:tc>
        <w:tc>
          <w:tcPr>
            <w:tcW w:type="dxa" w:w="1417"/>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ОУиО</w:t>
            </w:r>
          </w:p>
        </w:tc>
      </w:tr>
      <w:tr>
        <w:trPr>
          <w:trHeight w:val="1710" w:hRule="exact"/>
        </w:trPr>
        <w:tc>
          <w:tcPr>
            <w:tcW w:type="dxa" w:w="54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8.</w:t>
            </w:r>
          </w:p>
        </w:tc>
        <w:tc>
          <w:tcPr>
            <w:tcW w:type="dxa" w:w="3713"/>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инвентаризации </w:t>
            </w:r>
          </w:p>
        </w:tc>
        <w:tc>
          <w:tcPr>
            <w:tcW w:type="dxa" w:w="241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распоряжения администрации,</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 главы муниципального образования</w:t>
            </w:r>
          </w:p>
        </w:tc>
        <w:tc>
          <w:tcPr>
            <w:tcW w:type="dxa" w:w="19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4 квартал </w:t>
            </w:r>
          </w:p>
        </w:tc>
        <w:tc>
          <w:tcPr>
            <w:tcW w:type="dxa" w:w="1417"/>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ОУиО</w:t>
            </w:r>
          </w:p>
        </w:tc>
      </w:tr>
    </w:tbl>
    <w:p>
      <w:pPr>
        <w:jc w:val="center"/>
        <w:textAlignment w:val="auto"/>
        <w:ind w:left="0" w:right="0" w:start="0" w:end="0"/>
        <w:spacing w:after="0" w:line="240"/>
        <w:bidi w:val="false"/>
        <w:tabs>
          <w:tab w:val="left" w:pos="1960"/>
        </w:tabs>
        <w:rPr>
          <w:caps w:val="true"/>
          <w:rFonts w:ascii="Times New Roman" w:eastAsia="Times New Roman" w:hAnsi="Times New Roman" w:cs="Times New Roman"/>
          <w:sz w:val="28"/>
        </w:rPr>
      </w:pPr>
    </w:p>
    <w:p>
      <w:pPr>
        <w:jc w:val="center"/>
        <w:textAlignment w:val="auto"/>
        <w:ind w:left="0" w:right="0" w:start="0" w:end="0"/>
        <w:spacing w:after="0" w:line="240"/>
        <w:bidi w:val="false"/>
        <w:tabs>
          <w:tab w:val="left" w:pos="1960"/>
        </w:tabs>
        <w:rPr>
          <w:caps w:val="true"/>
          <w:rFonts w:ascii="Times New Roman" w:eastAsia="Times New Roman" w:hAnsi="Times New Roman" w:cs="Times New Roman"/>
          <w:sz w:val="28"/>
        </w:rPr>
      </w:pPr>
    </w:p>
    <w:p>
      <w:pPr>
        <w:jc w:val="center"/>
        <w:textAlignment w:val="auto"/>
        <w:ind w:left="0" w:right="0" w:start="0" w:end="0"/>
        <w:spacing w:after="0" w:line="240"/>
        <w:bidi w:val="false"/>
        <w:tabs>
          <w:tab w:val="left" w:pos="1960"/>
        </w:tabs>
        <w:rPr>
          <w:caps w:val="true"/>
          <w:rFonts w:ascii="Times New Roman" w:eastAsia="Times New Roman" w:hAnsi="Times New Roman" w:cs="Times New Roman"/>
          <w:sz w:val="28"/>
        </w:rPr>
      </w:pPr>
    </w:p>
    <w:p>
      <w:pPr>
        <w:jc w:val="center"/>
        <w:textAlignment w:val="auto"/>
        <w:ind w:left="0" w:right="0" w:start="0" w:end="0"/>
        <w:spacing w:after="0" w:line="240"/>
        <w:bidi w:val="false"/>
        <w:tabs>
          <w:tab w:val="left" w:pos="1960"/>
        </w:tabs>
        <w:rPr>
          <w:caps w:val="true"/>
          <w:rFonts w:ascii="Times New Roman" w:eastAsia="Times New Roman" w:hAnsi="Times New Roman" w:cs="Times New Roman"/>
          <w:sz w:val="28"/>
        </w:rPr>
      </w:pPr>
    </w:p>
    <w:p>
      <w:pPr>
        <w:jc w:val="center"/>
        <w:textAlignment w:val="auto"/>
        <w:ind w:left="0" w:right="0" w:start="0" w:end="0"/>
        <w:spacing w:after="0" w:line="240"/>
        <w:bidi w:val="false"/>
        <w:tabs>
          <w:tab w:val="left" w:pos="1960"/>
        </w:tabs>
        <w:rPr>
          <w:caps w:val="true"/>
          <w:rFonts w:ascii="Times New Roman" w:eastAsia="Times New Roman" w:hAnsi="Times New Roman" w:cs="Times New Roman"/>
          <w:sz w:val="28"/>
        </w:rPr>
      </w:pPr>
    </w:p>
    <w:p>
      <w:pPr>
        <w:jc w:val="center"/>
        <w:textAlignment w:val="auto"/>
        <w:ind w:left="0" w:right="0" w:start="0" w:end="0"/>
        <w:spacing w:after="240" w:line="240"/>
        <w:bidi w:val="false"/>
        <w:tabs>
          <w:tab w:val="left" w:pos="1960"/>
        </w:tabs>
        <w:rPr>
          <w:rFonts w:ascii="Times New Roman" w:eastAsia="Times New Roman" w:hAnsi="Times New Roman" w:cs="Times New Roman"/>
          <w:sz w:val="28"/>
        </w:rPr>
      </w:pPr>
      <w:r>
        <w:rPr>
          <w:b w:val="true"/>
          <w:caps w:val="true"/>
          <w:rFonts w:ascii="Times New Roman" w:eastAsia="Times New Roman" w:hAnsi="Times New Roman" w:cs="Times New Roman"/>
          <w:sz w:val="28"/>
        </w:rPr>
        <w:t xml:space="preserve">4. Управление муниципальным имуществом</w:t>
      </w:r>
    </w:p>
    <w:tbl>
      <w:tblPr>
        <w:tblLayout w:type="fixed"/>
        <w:tblInd w:w="40" w:type="dxa"/>
        <w:tblW w:w="5080" w:type="pct"/>
        <w:tblCellMar>
          <w:bottom w:w="0" w:type="dxa"/>
          <w:left w:w="40" w:type="dxa"/>
          <w:right w:w="40" w:type="dxa"/>
          <w:top w:w="0" w:type="dxa"/>
        </w:tblCellMar>
        <w:tblBorders>
          <w:left w:sz="0" w:space="0" w:val="nil"/>
          <w:right w:sz="0" w:space="0" w:val="nil"/>
          <w:top w:sz="0" w:space="0" w:val="nil"/>
          <w:bottom w:sz="0" w:space="0" w:val="nil"/>
          <w:insideV w:sz="0" w:space="0" w:val="nil"/>
          <w:insideH w:sz="0" w:space="0" w:val="nil"/>
        </w:tblBorders>
      </w:tblPr>
      <w:tblGrid>
        <w:gridCol w:w="385"/>
        <w:gridCol w:w="4999"/>
        <w:gridCol w:w="1924"/>
        <w:gridCol w:w="1209"/>
        <w:gridCol w:w="1644"/>
      </w:tblGrid>
      <w:tr>
        <w:trPr>
          <w:trHeight w:val="1444" w:hRule="exact"/>
        </w:trPr>
        <w:tc>
          <w:tcPr>
            <w:tcW w:type="dxa" w:w="385"/>
            <w:tcBorders>
              <w:left w:sz="6" w:val="single"/>
              <w:top w:sz="6" w:val="single"/>
              <w:right w:sz="6" w:val="single"/>
              <w:bottom w:sz="6" w:val="single"/>
            </w:tcBorders>
            <w:shd w:fill="ffffff" w:val="clear"/>
            <w:vAlign w:val="top"/>
            <w:textDirection w:val="lrTb"/>
            <w:gridSpan w:val="1"/>
          </w:tcPr>
          <w:p>
            <w:pPr>
              <w:jc w:val="left"/>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w:t>
            </w:r>
          </w:p>
        </w:tc>
        <w:tc>
          <w:tcPr>
            <w:tcW w:type="dxa" w:w="4999"/>
            <w:tcBorders>
              <w:left w:sz="6" w:val="single"/>
              <w:top w:sz="6" w:val="single"/>
              <w:right w:sz="6" w:val="single"/>
              <w:bottom w:sz="6" w:val="single"/>
            </w:tcBorders>
            <w:shd w:fill="ffffff" w:val="clear"/>
            <w:vAlign w:val="top"/>
            <w:textDirection w:val="lrTb"/>
            <w:gridSpan w:val="1"/>
          </w:tcPr>
          <w:p>
            <w:pPr>
              <w:jc w:val="left"/>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Оформление документов по приватизации жилых помещений</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 администрации, договор</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78"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Отдел по управлению </w:t>
            </w:r>
          </w:p>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муниципальным имуществом (ОУМИ) </w:t>
            </w:r>
          </w:p>
        </w:tc>
      </w:tr>
      <w:tr>
        <w:trPr>
          <w:trHeight w:val="855" w:hRule="exact"/>
        </w:trPr>
        <w:tc>
          <w:tcPr>
            <w:tcW w:type="dxa" w:w="385"/>
            <w:tcBorders>
              <w:left w:sz="6" w:val="single"/>
              <w:top w:sz="6" w:val="single"/>
              <w:right w:sz="6" w:val="single"/>
              <w:bottom w:sz="6" w:val="single"/>
            </w:tcBorders>
            <w:shd w:fill="ffffff" w:val="clear"/>
            <w:vAlign w:val="top"/>
            <w:textDirection w:val="lrTb"/>
            <w:gridSpan w:val="1"/>
          </w:tcPr>
          <w:p>
            <w:pPr>
              <w:jc w:val="left"/>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hanging="5" w:left="0" w:right="10" w:start="0" w:end="10"/>
              <w:spacing w:after="0" w:line="278"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перерегистрации очереди граждан, принятых на учет по улучшению жилищных условий </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0" w:right="211" w:start="0" w:end="211"/>
              <w:spacing w:after="0" w:line="278"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 администрации</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январь-май </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78"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840"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hanging="5" w:left="0" w:right="10" w:start="0" w:end="10"/>
              <w:spacing w:after="0" w:line="278"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Участие в проведении балансовых комиссий, заседаний Советов директоров, общих собраний акционеров</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192" w:right="211" w:start="192" w:end="211"/>
              <w:spacing w:after="0" w:line="278"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 протокола</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78"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1985"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hanging="5" w:left="0" w:right="10" w:start="0" w:end="10"/>
              <w:spacing w:after="0" w:line="278"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Правовое регулирование земельных отношений на территории муниципального образования Пикалевское городское поселение Бокситогорского муниципального района Ленинградской области и имущественных отношений, касающихся собственности муниципального образования</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192" w:right="211" w:start="192" w:end="211"/>
              <w:spacing w:after="0" w:line="278"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Проекты постановлений администрации</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 </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78"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2695"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hanging="5" w:left="0" w:right="5" w:start="0" w:end="5"/>
              <w:spacing w:after="0" w:line="269"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Оформление (переоформление) прав граждан и юридических лиц:</w:t>
            </w:r>
          </w:p>
          <w:p>
            <w:pPr>
              <w:jc w:val="both"/>
              <w:textAlignment w:val="auto"/>
              <w:ind w:firstLine="281" w:left="0" w:right="5" w:start="0" w:end="5"/>
              <w:spacing w:after="0" w:line="269"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 на объекты недвижимости, движимое имущество, находящееся в муниципальной собственности (в собственность, хозяйственное ведение, оперативное управление, безвозмездное пользование, в аренду, коммерческий найм),</w:t>
            </w:r>
          </w:p>
          <w:p>
            <w:pPr>
              <w:jc w:val="both"/>
              <w:textAlignment w:val="auto"/>
              <w:ind w:firstLine="281" w:left="0" w:right="5" w:start="0" w:end="5"/>
              <w:spacing w:after="0" w:line="269"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 на земельные участки (в собственность, в аренду)</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администрации,</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договор</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2265"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6.</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hanging="5" w:left="0" w:right="10" w:start="0" w:end="10"/>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Администрирование платежей за использование муниципального имущества (жилых и нежилых помещений, земельных участков, кроме платы за наем по договорам коммерческого, социального найма). Претензионно-исковая работа по взысканию задолженности по арендной плате за использование муниципального имущества</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38" w:right="53" w:start="38" w:end="53"/>
              <w:spacing w:after="0" w:line="278"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Претензия, акт сверки</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1985"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7.</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left="0" w:right="108" w:start="0" w:end="108"/>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пакетов документов, необходимых для государственной регистрации прав муниципальной собственности на недвижимое имущество и земельные участки. Регистрация прав муниципальной собственности на недвижимое имущество и земельные участки</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38" w:right="53" w:start="38" w:end="53"/>
              <w:spacing w:after="0" w:line="278"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Пакет документов</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1728" w:hRule="exact"/>
        </w:trPr>
        <w:tc>
          <w:tcPr>
            <w:tcW w:type="dxa" w:w="385"/>
            <w:tcBorders>
              <w:left w:sz="6" w:val="single"/>
              <w:top w:sz="6" w:val="single"/>
              <w:right w:sz="6" w:val="single"/>
              <w:bottom w:sz="6" w:val="single"/>
            </w:tcBorders>
            <w:shd w:fill="ffffff" w:val="clear"/>
            <w:vAlign w:val="top"/>
            <w:textDirection w:val="lrTb"/>
            <w:gridSpan w:val="1"/>
          </w:tcPr>
          <w:p>
            <w:pPr>
              <w:jc w:val="left"/>
              <w:textAlignment w:val="auto"/>
              <w:ind w:left="862" w:right="0" w:start="862" w:end="0"/>
              <w:spacing w:after="0" w:line="240"/>
              <w:bidi w:val="false"/>
              <w:shd w:fill="ffffff" w:val="clear"/>
              <w:rPr>
                <w:rFonts w:ascii="Times New Roman" w:eastAsia="Times New Roman" w:hAnsi="Times New Roman" w:cs="Times New Roman"/>
                <w:sz w:val="24"/>
              </w:rPr>
            </w:pP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left="0" w:right="120" w:start="0" w:end="12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документации для конкурсов, аукционов по продаже муниципального имущества, земельных участков и предоставлению права аренды муниципального имущества и земельных участков. </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67" w:right="62" w:start="67" w:end="62"/>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w:t>
            </w:r>
          </w:p>
          <w:p>
            <w:pPr>
              <w:jc w:val="center"/>
              <w:textAlignment w:val="auto"/>
              <w:ind w:left="67" w:right="62" w:start="67" w:end="62"/>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администрации</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1161" w:hRule="exact"/>
        </w:trPr>
        <w:tc>
          <w:tcPr>
            <w:tcW w:type="dxa" w:w="385"/>
            <w:tcBorders>
              <w:left w:sz="6" w:val="single"/>
              <w:top w:sz="6" w:val="single"/>
              <w:right w:sz="6" w:val="single"/>
              <w:bottom w:sz="6" w:val="single"/>
            </w:tcBorders>
            <w:shd w:fill="ffffff" w:val="clear"/>
            <w:vAlign w:val="top"/>
            <w:textDirection w:val="lrTb"/>
            <w:gridSpan w:val="1"/>
          </w:tcPr>
          <w:p>
            <w:pPr>
              <w:jc w:val="left"/>
              <w:textAlignment w:val="auto"/>
              <w:ind w:left="862" w:right="0" w:start="862" w:end="0"/>
              <w:spacing w:after="0" w:line="240"/>
              <w:bidi w:val="false"/>
              <w:shd w:fill="ffffff" w:val="clear"/>
              <w:rPr>
                <w:rFonts w:ascii="Times New Roman" w:eastAsia="Times New Roman" w:hAnsi="Times New Roman" w:cs="Times New Roman"/>
                <w:sz w:val="24"/>
              </w:rPr>
            </w:pP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аукционной, конкурсной документации, проектов муниципальных контрактов на выполнение определенных работ (услуг) </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67" w:right="62" w:start="67" w:end="62"/>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Проекты распоряжений, контрактов</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1121" w:hRule="exact"/>
        </w:trPr>
        <w:tc>
          <w:tcPr>
            <w:tcW w:type="dxa" w:w="385"/>
            <w:tcBorders>
              <w:left w:sz="6" w:val="single"/>
              <w:top w:sz="6" w:val="single"/>
              <w:right w:sz="6" w:val="single"/>
              <w:bottom w:sz="6" w:val="single"/>
            </w:tcBorders>
            <w:shd w:fill="ffffff" w:val="clear"/>
            <w:vAlign w:val="top"/>
            <w:textDirection w:val="lrTb"/>
            <w:gridSpan w:val="1"/>
          </w:tcPr>
          <w:p>
            <w:pPr>
              <w:jc w:val="left"/>
              <w:textAlignment w:val="auto"/>
              <w:ind w:left="862" w:right="0" w:start="862" w:end="0"/>
              <w:spacing w:after="0" w:line="240"/>
              <w:bidi w:val="false"/>
              <w:shd w:fill="ffffff" w:val="clear"/>
              <w:rPr>
                <w:rFonts w:ascii="Times New Roman" w:eastAsia="Times New Roman" w:hAnsi="Times New Roman" w:cs="Times New Roman"/>
                <w:sz w:val="24"/>
              </w:rPr>
            </w:pP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left="0" w:right="120" w:start="0" w:end="12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мероприятий по муниципальному земельному контролю</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67" w:right="62" w:start="67" w:end="62"/>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проекты постановлений, распоряжений администрации</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1178"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11.</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left="0" w:right="120" w:start="0" w:end="12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Ведение реестра муниципального имущества</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67" w:right="62" w:start="67" w:end="62"/>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 администрации, акты</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1123"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12.</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firstLine="19" w:left="14" w:right="5" w:start="14" w:end="5"/>
              <w:spacing w:after="0" w:line="274" w:lineRule="exact"/>
              <w:bidi w:val="false"/>
              <w:shd w:fill="ffffff" w:val="clear"/>
              <w:tabs>
                <w:tab w:val="left" w:pos="4920"/>
              </w:tabs>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инвентаризации имущества, переданного в оперативное управление и хозяйственное ведение</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 распоряжения администрации, акты</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2841"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firstLine="19" w:left="14" w:right="5" w:start="14" w:end="5"/>
              <w:spacing w:after="0" w:line="274" w:lineRule="exact"/>
              <w:bidi w:val="false"/>
              <w:shd w:fill="ffffff" w:val="clear"/>
              <w:tabs>
                <w:tab w:val="left" w:pos="4920"/>
              </w:tabs>
              <w:rPr>
                <w:rFonts w:ascii="Times New Roman" w:eastAsia="Times New Roman" w:hAnsi="Times New Roman" w:cs="Times New Roman"/>
                <w:sz w:val="24"/>
              </w:rPr>
            </w:pPr>
            <w:r>
              <w:rPr>
                <w:rFonts w:ascii="Times New Roman" w:eastAsia="Times New Roman" w:hAnsi="Times New Roman" w:cs="Times New Roman"/>
                <w:sz w:val="24"/>
              </w:rPr>
              <w:t xml:space="preserve">Контроль за использованием муниципального имущества, включающий, в том числе, обработку отчетов по использованию муниципального имущества в муниципальных унитарных предприятиях, муниципальных учреждениях, а также акционерных обществах, где муниципальное образование Пикалевское городское поселение Бокситогорского муниципального района Ленинградской области является учредителем</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Карта учета муниципального имущества, акты сверок</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889"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14.</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firstLine="19" w:left="14" w:right="5" w:start="14" w:end="5"/>
              <w:spacing w:after="0" w:line="274" w:lineRule="exact"/>
              <w:bidi w:val="false"/>
              <w:shd w:fill="ffffff" w:val="clear"/>
              <w:tabs>
                <w:tab w:val="left" w:pos="4920"/>
              </w:tabs>
              <w:rPr>
                <w:rFonts w:ascii="Times New Roman" w:eastAsia="Times New Roman" w:hAnsi="Times New Roman" w:cs="Times New Roman"/>
                <w:sz w:val="24"/>
              </w:rPr>
            </w:pPr>
            <w:r>
              <w:rPr>
                <w:rFonts w:ascii="Times New Roman" w:eastAsia="Times New Roman" w:hAnsi="Times New Roman" w:cs="Times New Roman"/>
                <w:sz w:val="24"/>
              </w:rPr>
              <w:t xml:space="preserve">Ведение электронной базы данных «Учет нуждающихся в улучшении жилищных условий»</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Программа</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845"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15</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left="0" w:right="710" w:start="0" w:end="71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Распределение свободных жилых помещений </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82" w:right="96" w:start="82" w:end="96"/>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 </w:t>
            </w:r>
          </w:p>
          <w:p>
            <w:pPr>
              <w:jc w:val="center"/>
              <w:textAlignment w:val="auto"/>
              <w:ind w:left="82" w:right="96" w:start="82" w:end="96"/>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администрации </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 </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2261"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16</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left="0" w:right="-40" w:start="0" w:end="-4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документов с целью реализации муниципальной программы «Управление собственностью, земельными ресурсами и градостроительная деятельность в муниципальном образовании Пикалевское городское поселение Бокситогорского муниципального района Ленинградской области»</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82" w:right="96" w:start="82" w:end="96"/>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 проекты муниципальных контрактов</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1996"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40" w:right="0" w:start="-40" w:end="0"/>
              <w:spacing w:after="0" w:line="240"/>
              <w:bidi w:val="false"/>
              <w:tabs>
                <w:tab w:val="left" w:pos="1048"/>
              </w:tabs>
              <w:rPr>
                <w:rFonts w:ascii="Times New Roman" w:eastAsia="Times New Roman" w:hAnsi="Times New Roman" w:cs="Times New Roman"/>
                <w:sz w:val="24"/>
              </w:rPr>
            </w:pPr>
            <w:r>
              <w:rPr>
                <w:rFonts w:ascii="Times New Roman" w:eastAsia="Times New Roman" w:hAnsi="Times New Roman" w:cs="Times New Roman"/>
                <w:sz w:val="24"/>
              </w:rPr>
              <w:t xml:space="preserve">17</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Принятие в установленном порядке документов о переводе жилых помещений в нежилые, нежилых в жилые, подготовка проектов постановлений администрации о переводе жилых помещений в нежилые, нежилых в жилые (после заключения межведомственной комиссии)</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82" w:right="96" w:start="82" w:end="96"/>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 уведомление</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574"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18</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материалов для опубликования в СМИ, размещение на сайте</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82" w:right="96" w:start="82" w:end="96"/>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Извещение, объявление</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1430"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регламентов оказания муниципальных услуг, внесение изменений в действующие регламенты, подготовка запросов, ответов на запросы по межведомственному взаимодействию</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82" w:right="96" w:start="82" w:end="96"/>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 запрос,</w:t>
            </w:r>
          </w:p>
          <w:p>
            <w:pPr>
              <w:jc w:val="center"/>
              <w:textAlignment w:val="auto"/>
              <w:ind w:left="82" w:right="96" w:start="82" w:end="96"/>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ответ на запрос</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1231"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Участие в подготовке документов для обращения в суды с исками по вопросам взыскания задолженности по арендной плате и расторжения договоров аренды</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82" w:right="96" w:start="82" w:end="96"/>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Расчеты, копии документов</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1413"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Ведение приема граждан, рассмотрение обращений граждан по вопросам, входящим в компетенцию отдела, подготовка запросов, оказание муниципальных услуг согласно регламентов</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82" w:right="96" w:start="82" w:end="96"/>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Ответы на обращения и запросы</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846"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22</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Выявление правообладателей ранее учтенных объектов недвижимости, государственная регистрация прав, снятие с учета </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82" w:right="96" w:start="82" w:end="96"/>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Запросы, обмен информацией, отчетность</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1988"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23</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мероприятий региональной адресной программы «Переселение граждан из аварийного жилищного фонда на территории Ленинградской области в 2019-2025 годах»</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82" w:right="96" w:start="82" w:end="96"/>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Заключение соглашений, контрактов, договоров, регистрация сделок, предоставление отчетности о результатах реализации Программы</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1997"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24</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Взаимодействие с территориальными представителями федеральной службы государственной регистрации, кадастра и картографии, бюро технической информации, налоговой службы в пределах полномочий отдела по управлению муниципальным имуществом администрации (ОУМИ)</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82" w:right="96" w:start="82" w:end="96"/>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Обмен информацией, ответы на запросы</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r>
        <w:trPr>
          <w:trHeight w:val="708" w:hRule="exact"/>
        </w:trPr>
        <w:tc>
          <w:tcPr>
            <w:tcW w:type="dxa" w:w="385"/>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25</w:t>
            </w:r>
          </w:p>
        </w:tc>
        <w:tc>
          <w:tcPr>
            <w:tcW w:type="dxa" w:w="4999"/>
            <w:tcBorders>
              <w:left w:sz="6" w:val="single"/>
              <w:top w:sz="6" w:val="single"/>
              <w:right w:sz="6" w:val="single"/>
              <w:bottom w:sz="6" w:val="single"/>
            </w:tcBorders>
            <w:shd w:fill="ffffff" w:val="clear"/>
            <w:vAlign w:val="top"/>
            <w:textDirection w:val="lrTb"/>
            <w:gridSpan w:val="1"/>
          </w:tcPr>
          <w:p>
            <w:pPr>
              <w:jc w:val="both"/>
              <w:textAlignment w:val="auto"/>
              <w:ind w:left="0" w:right="710" w:start="0" w:end="71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Составление отчетности в пределах полномочий ОУМИ</w:t>
            </w:r>
          </w:p>
        </w:tc>
        <w:tc>
          <w:tcPr>
            <w:tcW w:type="dxa" w:w="1924"/>
            <w:tcBorders>
              <w:left w:sz="6" w:val="single"/>
              <w:top w:sz="6" w:val="single"/>
              <w:right w:sz="6" w:val="single"/>
              <w:bottom w:sz="6" w:val="single"/>
            </w:tcBorders>
            <w:shd w:fill="ffffff" w:val="clear"/>
            <w:vAlign w:val="top"/>
            <w:textDirection w:val="lrTb"/>
            <w:gridSpan w:val="1"/>
          </w:tcPr>
          <w:p>
            <w:pPr>
              <w:jc w:val="center"/>
              <w:textAlignment w:val="auto"/>
              <w:ind w:left="82" w:right="96" w:start="82" w:end="96"/>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Формы отчетности</w:t>
            </w:r>
          </w:p>
        </w:tc>
        <w:tc>
          <w:tcPr>
            <w:tcW w:type="dxa" w:w="1209"/>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644"/>
            <w:tcBorders>
              <w:left w:sz="6" w:val="single"/>
              <w:top w:sz="6" w:val="single"/>
              <w:right w:sz="6" w:val="single"/>
              <w:bottom w:sz="6" w:val="single"/>
            </w:tcBorders>
            <w:shd w:fill="ffffff" w:val="clear"/>
            <w:vAlign w:val="top"/>
            <w:textDirection w:val="lrTb"/>
            <w:gridSpan w:val="1"/>
          </w:tcPr>
          <w:p>
            <w:pPr>
              <w:jc w:val="center"/>
              <w:textAlignment w:val="auto"/>
              <w:ind w:left="211" w:right="259" w:start="21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ОУМИ</w:t>
            </w:r>
          </w:p>
        </w:tc>
      </w:tr>
    </w:tbl>
    <w:p>
      <w:pPr>
        <w:jc w:val="left"/>
        <w:textAlignment w:val="auto"/>
        <w:ind w:left="0" w:right="0" w:start="0" w:end="0"/>
        <w:spacing w:after="0" w:line="240"/>
        <w:bidi w:val="false"/>
        <w:tabs>
          <w:tab w:val="left" w:pos="1960"/>
        </w:tabs>
        <w:rPr>
          <w:rFonts w:ascii="Times New Roman" w:eastAsia="Times New Roman" w:hAnsi="Times New Roman" w:cs="Times New Roman"/>
          <w:sz w:val="20"/>
        </w:rPr>
      </w:pPr>
    </w:p>
    <w:p>
      <w:pPr>
        <w:jc w:val="center"/>
        <w:textAlignment w:val="auto"/>
        <w:ind w:left="360" w:right="0" w:start="36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6. РАЗВИТИЕ ЖИЛИЩНО-КОММУНАЛЬНОГО ХОЗЯЙСТВА.</w:t>
      </w:r>
    </w:p>
    <w:p>
      <w:pPr>
        <w:jc w:val="center"/>
        <w:textAlignment w:val="auto"/>
        <w:ind w:left="0" w:right="0" w:start="0" w:end="0"/>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ПОВЫШЕНИЕ ЭФФЕКТИВНОСТИ ИСПОЛЬЗОВАНИЯ ТОПЛИВНО-ЭНЕРГЕТИЧЕСКИХ РЕСУРСОВ, ПРЕДУПРЕЖДЕНИЕ И ЛИКВИДАЦИЯ ПОСЛЕДСТВИЙ ЧРЕЗВЫЧАЙНЫХ СИТУАЦИЙ, </w:t>
      </w:r>
    </w:p>
    <w:p>
      <w:pPr>
        <w:jc w:val="center"/>
        <w:textAlignment w:val="auto"/>
        <w:ind w:left="0" w:right="0" w:start="0" w:end="0"/>
        <w:spacing w:after="24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УПРАВЛЕНИЕ РАЗВИТИЯ ТРАНСПОРТА И СВЯЗИ</w:t>
      </w:r>
    </w:p>
    <w:tbl>
      <w:tblPr>
        <w:tblLayout w:type="autofit"/>
        <w:tblInd w:w="108" w:type="dxa"/>
        <w:tblW w:w="4985" w:type="pct"/>
        <w:tblCellMar>
          <w:bottom w:w="0" w:type="dxa"/>
          <w:left w:w="108" w:type="dxa"/>
          <w:right w:w="108" w:type="dxa"/>
          <w:top w:w="0" w:type="dxa"/>
        </w:tblCellMar>
        <w:tblBorders>
          <w:left w:sz="4" w:space="0" w:val="single"/>
          <w:right w:sz="4" w:space="0" w:val="single"/>
          <w:top w:sz="4" w:space="0" w:val="single"/>
          <w:bottom w:sz="4" w:space="0" w:val="single"/>
          <w:insideV w:sz="4" w:space="0" w:val="single"/>
          <w:insideH w:sz="4" w:space="0" w:val="single"/>
        </w:tblBorders>
      </w:tblPr>
      <w:tblGrid>
        <w:gridCol w:w="516"/>
        <w:gridCol w:w="4694"/>
        <w:gridCol w:w="1866"/>
        <w:gridCol w:w="1771"/>
        <w:gridCol w:w="1260"/>
      </w:tblGrid>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документов о лимитировании потребления топливно-энергетических ресурсов организациями, финансируемыми из местного бюджета на 2024 год</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Постановления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 администрации</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IV квартал</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Осуществление контроля за потреблением топливно-энергетических ресурсов организациями, финансируемыми из местного бюджета в 2023 году</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Доклад главе администрации </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плана мероприятий по подготовке объектов жилищно-коммунального хозяйства и социальной сферы Пикалевского городского поселения к отопительному сезону 2024 –2025 г.г.</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  администрации</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II квартал</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Осуществление контроля за ходом реализации плана по подготовке объектов ЖКХ и социальной сферы к отопительному сезону</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паспорта готовности</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II-III квартал</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программы проведения проверок готовности теплоснабжающей, теплосетевой организации, потребителей тепловой энергии в 2024 году</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II квартал</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проверок организаций, указанных в п.5</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Паспорта, акты готовности к отопительному сезону</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III квартал</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к проверке органами Ростехнадзора муниципального образования по вопросу готовности муниципального образования к отопительному периоду 2024/2025 годов</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Получение паспорта готовности к отопительному периоду 2023/2024 г.г.</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III квартал</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Осуществление мониторинга и внесение изменений в муниципальные программы: «Безопасность в Пикалевском городском поселении», «Развитие транспортного комплекса в Пикалевском городском поселении, «Развитие коммунальной, жилищной инфраструктуры и благоустройства, повышение энергетической эффективности в Пикалевском городском поселении», «Формирование комфортной городской среды в Пикалевском городском поселении»</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Проекты постановлений администрации</w:t>
            </w:r>
          </w:p>
          <w:p>
            <w:pPr>
              <w:jc w:val="center"/>
              <w:textAlignment w:val="auto"/>
              <w:ind w:left="0" w:right="0" w:start="0" w:end="0"/>
              <w:spacing w:after="0" w:line="240"/>
              <w:bidi w:val="false"/>
              <w:rPr>
                <w:rFonts w:ascii="Times New Roman" w:eastAsia="Times New Roman" w:hAnsi="Times New Roman" w:cs="Times New Roman"/>
                <w:sz w:val="24"/>
              </w:rPr>
            </w:pP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проектов муниципальных программ: «Безопасность в Пикалевском городском поселении» на 2025-2027 годы, «Развитие транспортного комплекса в Пикалевском городском поселении» на 2025-2027 годы, «Развитие коммунальной, жилищной инфраструктуры и благоустройства, повышение энергетической эффективности в Пикалевском городском поселении» на 2025-2027 годы», «Формирование комфортной городской среды в Пикалевском городском поселении» на 2025 - 2027 годы»</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Проекты постановлений администрации</w:t>
            </w:r>
          </w:p>
          <w:p>
            <w:pPr>
              <w:jc w:val="center"/>
              <w:textAlignment w:val="auto"/>
              <w:ind w:left="0" w:right="0" w:start="0" w:end="0"/>
              <w:spacing w:after="0" w:line="240"/>
              <w:bidi w:val="false"/>
              <w:rPr>
                <w:rFonts w:ascii="Times New Roman" w:eastAsia="Times New Roman" w:hAnsi="Times New Roman" w:cs="Times New Roman"/>
                <w:sz w:val="24"/>
              </w:rPr>
            </w:pP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III – IV квартал</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отчетов о реализации муниципальных программ: «Безопасность в Пикалевском городском поселении» на 2024-2026 годы, «Развитие транспортного комплекса в Пикалевском городском поселении» на 2024-2026 годы, «Развитие коммунальной, жилищной инфраструктуры и благоустройства, повышение энергетической эффективности» на 2024-2026 годы», «Формирование комфортной городской среды в Пикалевском городском поселении» на 2024-2026 годы</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Отчет</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11.</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Участие в разработке региональной программы капитального ремонта многоквартирных домов, формирование краткосрочного плана реализации капитального ремонта МКД в Пикалевском городском поселении» на 2025-2027 год</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НПА</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I - квартал</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12.</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предложений для участия в разработке региональной программы капитального ремонта многоквартирных домов, формирование краткосрочного плана реализации капитального ремонта МКД в Пикалевском городском поселении на 2025 год</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предложения</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I-IV квартал</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Участие в приемке выполненных работ по капитальному ремонту МКД в рамках реализации региональной программы капитального ремонта многоквартирных домов в Пикалевском городском поселении</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Доклад главе администрации </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14.</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проекта расходов для исполнения расходных обязательств Пикалевского городского поселения на 2025 - 2027 г.г. (бюджетная заявка).</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Бюджетные заявки</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III квартал</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15.</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плана закупок, плана – графика закупок для муниципальных нужд.</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закупок, План-график закупок</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16.</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бюджетных заявок на государственную поддержку объектов, финансируемых за счёт средств областного и федерального бюджетов по ремонту автомобильных дорог общего пользования местного значения Пикалевского городского поселения, ремонту тепловых сетей, благоустройству дворовых и общественных территорий, обустройству площадок для накопления твердых коммунальных отходов.</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Пакет документов</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I –II -III – IV квартал</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17.</w:t>
            </w:r>
          </w:p>
        </w:tc>
        <w:tc>
          <w:tcPr>
            <w:tcW w:type="dxa" w:w="4694"/>
            <w:tcBorders>
              <w:left w:sz="4" w:val="single"/>
              <w:top w:sz="4" w:val="single"/>
              <w:right w:sz="4" w:val="single"/>
              <w:bottom w:sz="4" w:val="single"/>
            </w:tcBorders>
            <w:shd w:val="nil"/>
            <w:vAlign w:val="top"/>
            <w:textDirection w:val="lrTb"/>
            <w:gridSpan w:val="1"/>
          </w:tcPr>
          <w:p>
            <w:pPr>
              <w:keepNext w:val="true"/>
              <w:outlineLvl w:val="1"/>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технических заданий на выполнение работ (оказание услуг) по содержанию автомобильных дорог общего пользования, технических средств регулирования дорожного движения,  озеленения, технического обслуживания сетей наружного освещения, ремонту автомобильных дорог общего пользования местного значения, дворовых территорий и проездов к ним, благоустройству дворовых и общественных территорий, развитию АПК АИС «Безопасный город» и др.</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Техническое задание</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 согласно графика-закупок</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18.</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закупочной документации на право заключения муниципальных контрактов на оказание услуг (выполнение работ) в рамках реализации мероприятий, предусмотренных муниципальными программами, указанными в п.16</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Протоколы конкурсной комиссий</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документов и заключение соглашений с профильными комитетами Ленинградской области с долевым участием средств областного бюджета.</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Доклад главе администрации</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нормативно-правовых актов в сфере организации транспортного обслуживания населения в границах Пикалевского городского поселения.</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Проекты постановлений администрации</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проведения санитарной очистки территории Пикалевского городского поселения после зимнего периода.</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Апрель-май</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22.</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Осуществление работы по согласованию перевозки опасных, крупногабаритных и тяжеловесных грузов.</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Согласование проезда</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 по заявкам перевозчиков</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23.</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плана основных мероприятий ГО и ЧС муниципального образования Пикалевское городское поселение на 2024  год</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основных мероприятий</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Январь</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2023</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24.</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Осуществление контроля за ходом реализации муниципальных программ и мероприятий, реализуемых в рамках государственных программ в сфере ЖКХ на территории муниципального образования.</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Доклад главе администрации</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периода</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25.</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командно-штабных учений по теме: «Организация мероприятий по защите населения и территории от чрезвычайных ситуаций природного и техногенного характера. Авария на объекте ЖКХ».</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Постановление главы администрации </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согласно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утвержденного графика в течение 2023 года</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26.</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учебно-методического сбора с руководящим составом ГО и РЧС Пикалевского ТЗЧС по подведению итогов выполнения мероприятий ГО и защиты населения и территории от ЧС природного и техногенного характера в 2023 году и постановке задач на 2024 год.</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Доклад главе администрации</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I квартал</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27.</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Содействие в проведении инструкторско-методических сборов с начальниками штабов по делам ГО и ЧС предприятий, организаций с начальниками штабов гражданской обороны служб ГО муниципального образования.</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color w:val="ff0000"/>
              </w:rPr>
            </w:pPr>
            <w:r>
              <w:rPr>
                <w:rFonts w:ascii="Times New Roman" w:eastAsia="Times New Roman" w:hAnsi="Times New Roman" w:cs="Times New Roman"/>
                <w:sz w:val="24"/>
              </w:rPr>
              <w:t xml:space="preserve">Доклад главе администрации</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w:t>
            </w:r>
          </w:p>
          <w:p>
            <w:pPr>
              <w:jc w:val="center"/>
              <w:textAlignment w:val="auto"/>
              <w:ind w:left="0" w:right="0" w:start="0" w:end="0"/>
              <w:spacing w:after="0" w:line="240"/>
              <w:bidi w:val="false"/>
              <w:rPr>
                <w:rFonts w:ascii="Times New Roman" w:eastAsia="Times New Roman" w:hAnsi="Times New Roman" w:cs="Times New Roman"/>
                <w:sz w:val="24"/>
                <w:color w:val="ff0000"/>
              </w:rPr>
            </w:pPr>
            <w:r>
              <w:rPr>
                <w:rFonts w:ascii="Times New Roman" w:eastAsia="Times New Roman" w:hAnsi="Times New Roman" w:cs="Times New Roman"/>
                <w:sz w:val="24"/>
              </w:rPr>
              <w:t xml:space="preserve">Периода </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28.</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проведения мероприятий, связанных с празднованием Крещения в 2024 году.</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Доклад главе</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Январь</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29.</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плана мероприятий по предупреждению пожаров на территории Пикалевского городского поселения на 2024 год.</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Постановление главы администрации</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 I квартал</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30.</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плана противопаводковых мероприятий.</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Постановление главы администрации</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Февраль-март</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31.</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Осуществление контроля за прохождением паводкового периода</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Доклад главе</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Март-май</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32.</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деятельности комиссии по ЧС и ПБ</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Проекты постановлений, протоколы заседания МВК</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33.</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деятельности комиссии по проверке готовности потребителей к отопительному периоду 2024-2025 гг</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Протоколы заседаний</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34.</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работы межведомственной комиссии по перепланировке и переустройству жилых помещений</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Проекты постановлений, протоколы заседания МВК</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35.</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и обеспечение деятельности ДНД г. Пикалево</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Проекты НПА</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36.</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перспективного плана мероприятий по безопасности дорожного движения в Пикалевском городском поселении</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III квартал 2023 года</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r>
        <w:tc>
          <w:tcPr>
            <w:tcW w:type="dxa" w:w="51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37.</w:t>
            </w:r>
          </w:p>
        </w:tc>
        <w:tc>
          <w:tcPr>
            <w:tcW w:type="dxa" w:w="4694"/>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отчетов по вопросам жилищно-коммунального хозяйства, транспорта, энергосбережения и энергоэффективности, коммуникаций</w:t>
            </w:r>
          </w:p>
        </w:tc>
        <w:tc>
          <w:tcPr>
            <w:tcW w:type="dxa" w:w="186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Формы отчета</w:t>
            </w:r>
          </w:p>
        </w:tc>
        <w:tc>
          <w:tcPr>
            <w:tcW w:type="dxa" w:w="1771"/>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Месячные, квартальные, годовые</w:t>
            </w:r>
          </w:p>
        </w:tc>
        <w:tc>
          <w:tcPr>
            <w:tcW w:type="dxa" w:w="1260"/>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Отдел ЖКХ,ТиК</w:t>
            </w:r>
          </w:p>
        </w:tc>
      </w:tr>
    </w:tbl>
    <w:p>
      <w:pPr>
        <w:jc w:val="center"/>
        <w:textAlignment w:val="auto"/>
        <w:ind w:left="0" w:right="0" w:start="0" w:end="0"/>
        <w:spacing w:after="0" w:line="240"/>
        <w:bidi w:val="false"/>
        <w:rPr>
          <w:b w:val="true"/>
          <w:rFonts w:ascii="Times New Roman" w:eastAsia="Times New Roman" w:hAnsi="Times New Roman" w:cs="Times New Roman"/>
          <w:sz w:val="20"/>
        </w:rPr>
      </w:pPr>
    </w:p>
    <w:p>
      <w:pPr>
        <w:jc w:val="center"/>
        <w:textAlignment w:val="auto"/>
        <w:ind w:left="0" w:right="0" w:start="0" w:end="0"/>
        <w:spacing w:after="24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5. АРХИТЕКТУРА И ГРАДОСТРОИТЕЛЬСТВО</w:t>
      </w:r>
    </w:p>
    <w:tbl>
      <w:tblPr>
        <w:tblLayout w:type="autofit"/>
        <w:tblInd w:w="108" w:type="dxa"/>
        <w:tblW w:w="4985" w:type="pct"/>
        <w:tblCellMar>
          <w:bottom w:w="0" w:type="dxa"/>
          <w:left w:w="108" w:type="dxa"/>
          <w:right w:w="108" w:type="dxa"/>
          <w:top w:w="0" w:type="dxa"/>
        </w:tblCellMar>
        <w:tblBorders>
          <w:left w:sz="4" w:space="0" w:val="single"/>
          <w:right w:sz="4" w:space="0" w:val="single"/>
          <w:top w:sz="4" w:space="0" w:val="single"/>
          <w:bottom w:sz="4" w:space="0" w:val="single"/>
          <w:insideV w:sz="4" w:space="0" w:val="single"/>
          <w:insideH w:sz="4" w:space="0" w:val="single"/>
        </w:tblBorders>
      </w:tblPr>
      <w:tblGrid>
        <w:gridCol w:w="426"/>
        <w:gridCol w:w="3693"/>
        <w:gridCol w:w="2386"/>
        <w:gridCol w:w="1796"/>
        <w:gridCol w:w="1806"/>
      </w:tblGrid>
      <w:tr>
        <w:tc>
          <w:tcPr>
            <w:tcW w:type="dxa" w:w="42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p>
        </w:tc>
        <w:tc>
          <w:tcPr>
            <w:tcW w:type="dxa" w:w="3693"/>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градостроительных планов земельных участков для строительства</w:t>
            </w:r>
          </w:p>
        </w:tc>
        <w:tc>
          <w:tcPr>
            <w:tcW w:type="dxa" w:w="238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Градостроительные планы</w:t>
            </w:r>
          </w:p>
        </w:tc>
        <w:tc>
          <w:tcPr>
            <w:tcW w:type="dxa" w:w="179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80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Гл. специалист ОЖКХ,ТиК – гл. архитектор администрации</w:t>
            </w:r>
          </w:p>
        </w:tc>
      </w:tr>
      <w:tr>
        <w:tc>
          <w:tcPr>
            <w:tcW w:type="dxa" w:w="42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p>
        </w:tc>
        <w:tc>
          <w:tcPr>
            <w:tcW w:type="dxa" w:w="3693"/>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разрешений на строительство и ввод объектов в эксплуатацию</w:t>
            </w:r>
          </w:p>
        </w:tc>
        <w:tc>
          <w:tcPr>
            <w:tcW w:type="dxa" w:w="238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Разрешение на строительство, разрешение на ввод, уведомления, необходимые при строительстве или реконструкции объекта ИЖС или садового дома </w:t>
            </w:r>
          </w:p>
        </w:tc>
        <w:tc>
          <w:tcPr>
            <w:tcW w:type="dxa" w:w="179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80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Гл. специалист ОЖКХ,ТиК – гл. архитектор администрации</w:t>
            </w:r>
          </w:p>
        </w:tc>
      </w:tr>
      <w:tr>
        <w:tc>
          <w:tcPr>
            <w:tcW w:type="dxa" w:w="42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p>
        </w:tc>
        <w:tc>
          <w:tcPr>
            <w:tcW w:type="dxa" w:w="3693"/>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документов, необходимых для выбора земельных участков под строительство объектов</w:t>
            </w:r>
          </w:p>
        </w:tc>
        <w:tc>
          <w:tcPr>
            <w:tcW w:type="dxa" w:w="238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Проекты распоряжений администрации об утверждении схем расположения земельных участков</w:t>
            </w:r>
          </w:p>
        </w:tc>
        <w:tc>
          <w:tcPr>
            <w:tcW w:type="dxa" w:w="179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80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Гл. специалист ОЖКХ,ТиК – гл. архитектор администрации</w:t>
            </w:r>
          </w:p>
        </w:tc>
      </w:tr>
      <w:tr>
        <w:tc>
          <w:tcPr>
            <w:tcW w:type="dxa" w:w="42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w:t>
            </w:r>
          </w:p>
        </w:tc>
        <w:tc>
          <w:tcPr>
            <w:tcW w:type="dxa" w:w="3693"/>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Выдача актов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не территории муниципального образования </w:t>
            </w:r>
          </w:p>
        </w:tc>
        <w:tc>
          <w:tcPr>
            <w:tcW w:type="dxa" w:w="238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выдача акта освидетельствования / выдача уведомления об отказе в выдаче акта освидетельствования</w:t>
            </w:r>
          </w:p>
        </w:tc>
        <w:tc>
          <w:tcPr>
            <w:tcW w:type="dxa" w:w="179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80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Гл. специалист ОЖКХ,ТиК – гл. архитектор администрации</w:t>
            </w:r>
          </w:p>
        </w:tc>
      </w:tr>
      <w:tr>
        <w:tc>
          <w:tcPr>
            <w:tcW w:type="dxa" w:w="42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w:t>
            </w:r>
          </w:p>
        </w:tc>
        <w:tc>
          <w:tcPr>
            <w:tcW w:type="dxa" w:w="3693"/>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отчетов по вопросам архитектуры и градостроительства</w:t>
            </w:r>
          </w:p>
        </w:tc>
        <w:tc>
          <w:tcPr>
            <w:tcW w:type="dxa" w:w="238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Формы отчетов</w:t>
            </w:r>
          </w:p>
        </w:tc>
        <w:tc>
          <w:tcPr>
            <w:tcW w:type="dxa" w:w="179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Месячные, квартальные, годовые</w:t>
            </w:r>
          </w:p>
        </w:tc>
        <w:tc>
          <w:tcPr>
            <w:tcW w:type="dxa" w:w="180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Гл. специалист ОЖКХ,ТиК – гл. архитектор администрации</w:t>
            </w:r>
          </w:p>
        </w:tc>
      </w:tr>
      <w:tr>
        <w:tc>
          <w:tcPr>
            <w:tcW w:type="dxa" w:w="42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w:t>
            </w:r>
          </w:p>
        </w:tc>
        <w:tc>
          <w:tcPr>
            <w:tcW w:type="dxa" w:w="3693"/>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документации по планировке территории</w:t>
            </w:r>
          </w:p>
        </w:tc>
        <w:tc>
          <w:tcPr>
            <w:tcW w:type="dxa" w:w="238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Проекты планировки, проекты межевания территории</w:t>
            </w:r>
          </w:p>
        </w:tc>
        <w:tc>
          <w:tcPr>
            <w:tcW w:type="dxa" w:w="179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80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Гл. специалист ОЖКХ,ТиК – гл. архитектор администрации</w:t>
            </w:r>
          </w:p>
        </w:tc>
      </w:tr>
      <w:tr>
        <w:tc>
          <w:tcPr>
            <w:tcW w:type="dxa" w:w="42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w:t>
            </w:r>
          </w:p>
        </w:tc>
        <w:tc>
          <w:tcPr>
            <w:tcW w:type="dxa" w:w="3693"/>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Внесение изменений в Генеральный план и Правила землепользования и застройки Пикалевского городского поселения</w:t>
            </w:r>
          </w:p>
        </w:tc>
        <w:tc>
          <w:tcPr>
            <w:tcW w:type="dxa" w:w="238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НПА</w:t>
            </w:r>
          </w:p>
        </w:tc>
        <w:tc>
          <w:tcPr>
            <w:tcW w:type="dxa" w:w="179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80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Гл. специалист ОЖКХ,ТиК – гл. архитектор администрации</w:t>
            </w:r>
          </w:p>
        </w:tc>
      </w:tr>
      <w:tr>
        <w:tc>
          <w:tcPr>
            <w:tcW w:type="dxa" w:w="42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w:t>
            </w:r>
          </w:p>
        </w:tc>
        <w:tc>
          <w:tcPr>
            <w:tcW w:type="dxa" w:w="3693"/>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Присвоение, изменение, аннулирование адресов. Внесение сведений об адресах в ФИАС. Инвентаризация сведений об адресах, внесенных в ФИАС</w:t>
            </w:r>
          </w:p>
        </w:tc>
        <w:tc>
          <w:tcPr>
            <w:tcW w:type="dxa" w:w="238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Проекты постановлений о присвоении, изменении, аннулировании адресов</w:t>
            </w:r>
          </w:p>
        </w:tc>
        <w:tc>
          <w:tcPr>
            <w:tcW w:type="dxa" w:w="179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80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Гл. специалист ОЖКХ,ТиК – гл. архитектор администрации</w:t>
            </w:r>
          </w:p>
        </w:tc>
      </w:tr>
      <w:tr>
        <w:tc>
          <w:tcPr>
            <w:tcW w:type="dxa" w:w="426"/>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p>
        </w:tc>
        <w:tc>
          <w:tcPr>
            <w:tcW w:type="dxa" w:w="3693"/>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Выдача разрешения на осуществление земляных работ, продление срока разрешения</w:t>
            </w:r>
          </w:p>
        </w:tc>
        <w:tc>
          <w:tcPr>
            <w:tcW w:type="dxa" w:w="238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Разрешение на осуществление земляных работ. </w:t>
            </w:r>
          </w:p>
        </w:tc>
        <w:tc>
          <w:tcPr>
            <w:tcW w:type="dxa" w:w="179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80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4"/>
              </w:rPr>
              <w:t xml:space="preserve">Гл. специалист ОЖКХ,ТиК – гл. архитектор администрации</w:t>
            </w:r>
          </w:p>
        </w:tc>
      </w:tr>
    </w:tbl>
    <w:p>
      <w:pPr>
        <w:jc w:val="center"/>
        <w:textAlignment w:val="auto"/>
        <w:ind w:left="0" w:right="0" w:start="0" w:end="0"/>
        <w:spacing w:after="0" w:line="240"/>
        <w:bidi w:val="false"/>
        <w:rPr>
          <w:b w:val="true"/>
          <w:rFonts w:ascii="Times New Roman" w:eastAsia="Times New Roman" w:hAnsi="Times New Roman" w:cs="Times New Roman"/>
          <w:sz w:val="20"/>
        </w:rPr>
      </w:pPr>
    </w:p>
    <w:p>
      <w:pPr>
        <w:jc w:val="center"/>
        <w:textAlignment w:val="auto"/>
        <w:ind w:left="0" w:right="0" w:start="0" w:end="0"/>
        <w:spacing w:after="24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7. ПОВЫШЕНИЕ ЭФФЕКТИВНОСТИ ДЕЯТЕЛЬНОСТИ ОРГАНОВ МЕСТНОГО САМОУПРАВЛЕНИЯ</w:t>
      </w:r>
    </w:p>
    <w:tbl>
      <w:tblPr>
        <w:tblLayout w:type="autofit"/>
        <w:tblInd w:w="40" w:type="dxa"/>
        <w:tblW w:w="5031" w:type="pct"/>
        <w:tblCellMar>
          <w:bottom w:w="0" w:type="dxa"/>
          <w:left w:w="40" w:type="dxa"/>
          <w:right w:w="40" w:type="dxa"/>
          <w:top w:w="0" w:type="dxa"/>
        </w:tblCellMar>
        <w:tblBorders>
          <w:left w:sz="0" w:space="0" w:val="nil"/>
          <w:right w:sz="0" w:space="0" w:val="nil"/>
          <w:top w:sz="0" w:space="0" w:val="nil"/>
          <w:bottom w:sz="0" w:space="0" w:val="nil"/>
          <w:insideV w:sz="0" w:space="0" w:val="nil"/>
          <w:insideH w:sz="0" w:space="0" w:val="nil"/>
        </w:tblBorders>
      </w:tblPr>
      <w:tblGrid>
        <w:gridCol w:w="380"/>
        <w:gridCol w:w="3975"/>
        <w:gridCol w:w="2236"/>
        <w:gridCol w:w="1742"/>
        <w:gridCol w:w="1730"/>
      </w:tblGrid>
      <w:tr>
        <w:trPr>
          <w:trHeight w:val="1428" w:hRule="exact"/>
        </w:trPr>
        <w:tc>
          <w:tcPr>
            <w:tcW w:type="dxa" w:w="380"/>
            <w:tcBorders>
              <w:left w:sz="6" w:val="single"/>
              <w:top w:sz="6" w:val="single"/>
              <w:right w:sz="6" w:val="single"/>
              <w:bottom w:sz="4"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проведения заседаний Совета депутатов Пикалевского городского поселения, оперативных совещаний при главе администрации Пикалевского городского поселения.</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Проекты муниципальных нормативных актов</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МКУ «Центр АХО»</w:t>
            </w:r>
          </w:p>
        </w:tc>
      </w:tr>
      <w:tr>
        <w:trPr>
          <w:trHeight w:val="1401" w:hRule="exact"/>
        </w:trPr>
        <w:tc>
          <w:tcPr>
            <w:tcW w:type="dxa" w:w="380"/>
            <w:tcBorders>
              <w:left w:sz="4" w:val="single"/>
              <w:top w:sz="4" w:val="single"/>
              <w:right w:sz="4" w:val="single"/>
              <w:bottom w:sz="4"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w:t>
            </w:r>
          </w:p>
        </w:tc>
        <w:tc>
          <w:tcPr>
            <w:tcW w:type="dxa" w:w="3975"/>
            <w:tcBorders>
              <w:left w:sz="4"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проведения публичных слушаний по вопросам местного значения с участием жителей Пикалевского городского поселения.</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149" w:right="149" w:start="149" w:end="14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 решения </w:t>
            </w:r>
          </w:p>
          <w:p>
            <w:pPr>
              <w:jc w:val="center"/>
              <w:textAlignment w:val="auto"/>
              <w:ind w:left="149" w:right="149" w:start="149" w:end="14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Совета депутатов, постановление главы МО</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 </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Структурные подразделения администрации, МКУ «Центр АХО»</w:t>
            </w:r>
          </w:p>
        </w:tc>
      </w:tr>
      <w:tr>
        <w:trPr>
          <w:trHeight w:val="1993" w:hRule="exact"/>
        </w:trPr>
        <w:tc>
          <w:tcPr>
            <w:tcW w:type="dxa" w:w="380"/>
            <w:tcBorders>
              <w:left w:sz="6" w:val="single"/>
              <w:top w:sz="4"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3.</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проведения приемов населения, встреч с населением и прямой телефонной связи с населением главы Пикалевского городского поселения, главы администрации и депутатов Совета депутатов</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Ежемесячный план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мероприятий администрации</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 </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МКУ «Центр АХО»</w:t>
            </w:r>
          </w:p>
        </w:tc>
      </w:tr>
      <w:tr>
        <w:trPr>
          <w:trHeight w:val="1696"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4.</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firstLine="10"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ежемесячных планов работы администрации Пикалевского городского поселения на основе планов структурных подразделений администрации Пикалевского городского поселения</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распоряжения</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администрации</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Ежемесячно</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rPr>
          <w:trHeight w:val="1445"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5.</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Внесение изменений в муниципальные нормативные правовые акты (МНПА) в связи с изменением федерального и регионального законодательства</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Проекты решений Совета депутатов</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проекты постановлений администрации</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Структурные подразделения администрации</w:t>
            </w:r>
          </w:p>
        </w:tc>
      </w:tr>
      <w:tr>
        <w:trPr>
          <w:trHeight w:val="1422"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6.</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проведения правовой антикоррупционной экспертизы МНПА и их проектов.</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решения Совета депутатов,</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 администрации</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МКУ «Центр АХО»</w:t>
            </w:r>
          </w:p>
        </w:tc>
      </w:tr>
      <w:tr>
        <w:trPr>
          <w:trHeight w:val="1259"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7.</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Анализ обращений юридических и физических лиц, содержащих информацию о коррупционных проявлениях</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Обзоры и обобщения</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об исполнительской дисциплине</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Ежемесячно,</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ежеквартально</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rPr>
          <w:trHeight w:val="1986"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8.</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firstLine="5" w:left="0" w:right="104" w:start="0" w:end="104"/>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Комплексного плана основных мероприятий администрации Пикалевского городского поселения на 2025 год на основе планов структурных подразделений администрации Пикалевского городского поселения</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288" w:right="278" w:start="288" w:end="278"/>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 </w:t>
            </w:r>
          </w:p>
          <w:p>
            <w:pPr>
              <w:jc w:val="center"/>
              <w:textAlignment w:val="auto"/>
              <w:ind w:left="288" w:right="278" w:start="288" w:end="278"/>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распоряжения</w:t>
            </w:r>
          </w:p>
          <w:p>
            <w:pPr>
              <w:jc w:val="center"/>
              <w:textAlignment w:val="auto"/>
              <w:ind w:left="288" w:right="278" w:start="288" w:end="278"/>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администрации</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До 25 декабря</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rPr>
          <w:trHeight w:val="1432"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9.</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firstLine="10" w:left="0" w:right="104" w:start="0" w:end="104"/>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работы по взаимодействию органов местного самоуправления Пикалевского городского поселения со средствами массовой информации </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информации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 принятых МНПА</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Ежемесячно</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rPr>
          <w:trHeight w:val="1397"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10.</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firstLine="10" w:left="0" w:right="104" w:start="0" w:end="104"/>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работы по взаимодействию с общественными и религиозными организациями, местными отделениями политических партий</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110" w:right="0" w:start="110" w:end="0"/>
              <w:spacing w:before="5"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Доклад главе</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before="5"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rPr>
          <w:trHeight w:val="1430"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11.</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firstLine="10" w:left="0" w:right="246" w:start="0" w:end="246"/>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муниципальных правовых актов, связанных с деятельностью ОМСУ Пикалевского городского поселения</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решения Совета депутатов,</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 постановления администрации</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28" w:right="0" w:start="2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Структурные подразделения,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администрации</w:t>
            </w:r>
          </w:p>
        </w:tc>
      </w:tr>
      <w:tr>
        <w:trPr>
          <w:trHeight w:val="1432"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12.</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firstLine="10" w:left="0" w:right="246" w:start="0" w:end="246"/>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работы по обеспечении доступа к социально-значимой информации о деятельности ОМСУ Пикалевского городского поселения</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размещение информации на официальном сайте Пикалевского городского поселения</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поддерживается в актуальном состоянии</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Структурные подразделения администрации, МКУ «Центр АХО»</w:t>
            </w:r>
          </w:p>
        </w:tc>
      </w:tr>
      <w:tr>
        <w:trPr>
          <w:trHeight w:val="1542"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13.</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firstLine="10" w:left="0" w:right="246" w:start="0" w:end="246"/>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Обеспечение представления копий МНПА в Регистр МНПА Ленинградской области и Бокситогорскую городскую прокуратуру</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Реестр МНПА</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Ежемесячно</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МКУ «Центр АХО»</w:t>
            </w:r>
          </w:p>
        </w:tc>
      </w:tr>
      <w:tr>
        <w:trPr>
          <w:trHeight w:val="1434"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14.</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firstLine="10" w:left="0" w:right="0" w:start="0" w:end="0"/>
              <w:spacing w:after="0" w:line="274"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оказания муниципальных услуг населению в электронном виде</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Реестр муниципальных услуг</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Структурные подразделения администрации, МКУ «Центр АХО»</w:t>
            </w:r>
          </w:p>
        </w:tc>
      </w:tr>
      <w:tr>
        <w:trPr>
          <w:trHeight w:val="965"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15.</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firstLine="10"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работы по межмуниципальному сотрудничеству</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Структурные подразделения администрации</w:t>
            </w:r>
          </w:p>
        </w:tc>
      </w:tr>
      <w:tr>
        <w:trPr>
          <w:trHeight w:val="1444"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16.</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firstLine="10"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Участие в подготовке и проведении городских мероприятий</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Структурные подразделения администрации, МКУ «Центр АХО»</w:t>
            </w:r>
          </w:p>
        </w:tc>
      </w:tr>
      <w:tr>
        <w:trPr>
          <w:trHeight w:val="855"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17.</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firstLine="10"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Осуществление организационных мероприятий, направленных на обеспечение деятельности ОМСУ</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МКУ «Центр АХО»</w:t>
            </w:r>
          </w:p>
        </w:tc>
      </w:tr>
      <w:tr>
        <w:trPr>
          <w:trHeight w:val="1151"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18.</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firstLine="10" w:left="0" w:right="102" w:start="0" w:end="102"/>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делопроизводства ОМСУ Пикалевского городского поселения и осуществление контроля за его исполнением </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Доклад главе</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before="5"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rPr>
          <w:trHeight w:val="1139"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19.</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firstLine="10" w:left="0" w:right="102" w:start="0" w:end="102"/>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открытой библиотеки МНПА актов в Пикалевской центральная библиотеке (ПЦБ)</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Библиотека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МНПА</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ПЦБ</w:t>
            </w:r>
          </w:p>
        </w:tc>
      </w:tr>
      <w:tr>
        <w:trPr>
          <w:trHeight w:val="1129"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20.</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firstLine="10" w:left="0" w:right="102" w:start="0" w:end="102"/>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Содействие депутатам Совета депутатов Пикалевского городского поселения в осуществлении ими своих полномочий</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Помощь в подготовке документов, оповещение</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администрации,</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МКУ «Центр АХО»</w:t>
            </w:r>
          </w:p>
        </w:tc>
      </w:tr>
      <w:tr>
        <w:trPr>
          <w:trHeight w:val="857"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21.</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firstLine="10" w:left="0" w:right="102" w:start="0" w:end="102"/>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Обеспечение информирования граждан о деятельности ОМСУ Пикалевского городского поселения</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Размещение информации на сайте, в городских СМИ </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Структурные подразделения администрации</w:t>
            </w:r>
          </w:p>
        </w:tc>
      </w:tr>
      <w:tr>
        <w:trPr>
          <w:trHeight w:val="853"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22.</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firstLine="10" w:left="0" w:right="102" w:start="0" w:end="102"/>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Возбуждение исполнительного производства по неуплаченным суммам задолженности, штрафам.</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Документы</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Структурные подразделения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администрации</w:t>
            </w:r>
          </w:p>
        </w:tc>
      </w:tr>
      <w:tr>
        <w:trPr>
          <w:trHeight w:val="1408"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23.</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firstLine="6" w:left="0" w:right="104" w:start="0" w:end="104"/>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Участие в организации подготовки и проведения мероприятий, направленных на повышение правовой культуры избирателей, в том числе в день выборов.</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План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мероприятий</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течении года</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1840"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24.</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firstLine="6" w:left="0" w:right="104" w:start="0" w:end="104"/>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содействия организаторам публичного мероприятия (митинг, пикет, демонстрация, шествие) в его проведении в соответствии с требованиями действующего законодательства</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Проект распоряжения администрации</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rPr>
          <w:trHeight w:val="861" w:hRule="exact"/>
        </w:trPr>
        <w:tc>
          <w:tcPr>
            <w:tcW w:type="dxa" w:w="38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25.</w:t>
            </w:r>
          </w:p>
        </w:tc>
        <w:tc>
          <w:tcPr>
            <w:tcW w:type="dxa" w:w="3975"/>
            <w:tcBorders>
              <w:left w:sz="6" w:val="single"/>
              <w:top w:sz="6" w:val="single"/>
              <w:right w:sz="6" w:val="single"/>
              <w:bottom w:sz="6" w:val="single"/>
            </w:tcBorders>
            <w:shd w:fill="ffffff" w:val="clear"/>
            <w:vAlign w:val="top"/>
            <w:textDirection w:val="lrTb"/>
            <w:gridSpan w:val="1"/>
          </w:tcPr>
          <w:p>
            <w:pPr>
              <w:jc w:val="both"/>
              <w:textAlignment w:val="auto"/>
              <w:ind w:left="0" w:right="104" w:start="0" w:end="104"/>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Осуществление мониторинга и внесение изменений в муниципальные программы</w:t>
            </w:r>
          </w:p>
        </w:tc>
        <w:tc>
          <w:tcPr>
            <w:tcW w:type="dxa" w:w="2236"/>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Проекты постановлений администрации</w:t>
            </w:r>
          </w:p>
        </w:tc>
        <w:tc>
          <w:tcPr>
            <w:tcW w:type="dxa" w:w="17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730"/>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Структурные подразделения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администрации</w:t>
            </w:r>
          </w:p>
        </w:tc>
      </w:tr>
    </w:tbl>
    <w:p>
      <w:pPr>
        <w:jc w:val="center"/>
        <w:textAlignment w:val="auto"/>
        <w:ind w:left="0" w:right="0" w:start="0" w:end="0"/>
        <w:spacing w:after="0" w:line="240"/>
        <w:bidi w:val="false"/>
        <w:tabs>
          <w:tab w:val="left" w:pos="3460"/>
        </w:tabs>
        <w:rPr>
          <w:b w:val="true"/>
          <w:caps w:val="true"/>
          <w:rFonts w:ascii="Times New Roman" w:eastAsia="Times New Roman" w:hAnsi="Times New Roman" w:cs="Times New Roman"/>
          <w:sz w:val="20"/>
        </w:rPr>
      </w:pPr>
    </w:p>
    <w:p>
      <w:pPr>
        <w:jc w:val="center"/>
        <w:textAlignment w:val="auto"/>
        <w:ind w:left="0" w:right="0" w:start="0" w:end="0"/>
        <w:spacing w:after="240" w:line="240"/>
        <w:bidi w:val="false"/>
        <w:tabs>
          <w:tab w:val="left" w:pos="3460"/>
        </w:tabs>
        <w:rPr>
          <w:caps w:val="true"/>
          <w:rFonts w:ascii="Times New Roman" w:eastAsia="Times New Roman" w:hAnsi="Times New Roman" w:cs="Times New Roman"/>
          <w:sz w:val="28"/>
        </w:rPr>
      </w:pPr>
      <w:r>
        <w:rPr>
          <w:b w:val="true"/>
          <w:caps w:val="true"/>
          <w:rFonts w:ascii="Times New Roman" w:eastAsia="Times New Roman" w:hAnsi="Times New Roman" w:cs="Times New Roman"/>
          <w:sz w:val="28"/>
        </w:rPr>
        <w:t xml:space="preserve">8. Кадровая работа</w:t>
      </w:r>
    </w:p>
    <w:tbl>
      <w:tblPr>
        <w:tblLayout w:type="fixed"/>
        <w:tblInd w:w="108" w:type="dxa"/>
        <w:tblW w:w="10206" w:type="dxa"/>
        <w:tblCellMar>
          <w:bottom w:w="0" w:type="dxa"/>
          <w:left w:w="108" w:type="dxa"/>
          <w:right w:w="108" w:type="dxa"/>
          <w:top w:w="0" w:type="dxa"/>
        </w:tblCellMar>
        <w:tblBorders>
          <w:left w:sz="4" w:space="0" w:val="single"/>
          <w:right w:sz="4" w:space="0" w:val="single"/>
          <w:top w:sz="4" w:space="0" w:val="single"/>
          <w:bottom w:sz="4" w:space="0" w:val="single"/>
          <w:insideV w:sz="4" w:space="0" w:val="single"/>
          <w:insideH w:sz="4" w:space="0" w:val="single"/>
        </w:tblBorders>
      </w:tblPr>
      <w:tblGrid>
        <w:gridCol w:w="426"/>
        <w:gridCol w:w="3827"/>
        <w:gridCol w:w="2268"/>
        <w:gridCol w:w="1843"/>
        <w:gridCol w:w="1842"/>
      </w:tblGrid>
      <w:tr>
        <w:tc>
          <w:tcPr>
            <w:tcW w:type="dxa" w:w="426"/>
            <w:tcBorders>
              <w:left w:sz="4" w:val="single"/>
              <w:top w:sz="6"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w:t>
            </w:r>
          </w:p>
        </w:tc>
        <w:tc>
          <w:tcPr>
            <w:tcW w:type="dxa" w:w="3827"/>
            <w:tcBorders>
              <w:left w:sz="4" w:val="single"/>
              <w:top w:sz="6"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муниципальных правовых актов по вопросам кадровой работы, муниципальной службы и противодействия коррупции</w:t>
            </w:r>
          </w:p>
        </w:tc>
        <w:tc>
          <w:tcPr>
            <w:tcW w:type="dxa" w:w="2268"/>
            <w:tcBorders>
              <w:left w:sz="4" w:val="single"/>
              <w:top w:sz="6"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МНПА, МПА</w:t>
            </w:r>
          </w:p>
        </w:tc>
        <w:tc>
          <w:tcPr>
            <w:tcW w:type="dxa" w:w="1843"/>
            <w:tcBorders>
              <w:left w:sz="4" w:val="single"/>
              <w:top w:sz="6"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842"/>
            <w:tcBorders>
              <w:left w:sz="4" w:val="single"/>
              <w:top w:sz="6"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6"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w:t>
            </w:r>
          </w:p>
        </w:tc>
        <w:tc>
          <w:tcPr>
            <w:tcW w:type="dxa" w:w="3827"/>
            <w:tcBorders>
              <w:left w:sz="4" w:val="single"/>
              <w:top w:sz="6"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Ведение реестра муниципальных служащих администрации Пикалевского городского поселения</w:t>
            </w:r>
          </w:p>
        </w:tc>
        <w:tc>
          <w:tcPr>
            <w:tcW w:type="dxa" w:w="2268"/>
            <w:tcBorders>
              <w:left w:sz="4" w:val="single"/>
              <w:top w:sz="6"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Реестр муниципальных служащих (Форма)</w:t>
            </w:r>
          </w:p>
        </w:tc>
        <w:tc>
          <w:tcPr>
            <w:tcW w:type="dxa" w:w="1843"/>
            <w:tcBorders>
              <w:left w:sz="4" w:val="single"/>
              <w:top w:sz="6"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Ежеквартально, по мере необходимости </w:t>
            </w:r>
          </w:p>
        </w:tc>
        <w:tc>
          <w:tcPr>
            <w:tcW w:type="dxa" w:w="1842"/>
            <w:tcBorders>
              <w:left w:sz="4" w:val="single"/>
              <w:top w:sz="6"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6"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w:t>
            </w:r>
          </w:p>
        </w:tc>
        <w:tc>
          <w:tcPr>
            <w:tcW w:type="dxa" w:w="3827"/>
            <w:tcBorders>
              <w:left w:sz="4" w:val="single"/>
              <w:top w:sz="6"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аттестации муниципальных служащих администрации Пикалевского городского поселения</w:t>
            </w:r>
          </w:p>
        </w:tc>
        <w:tc>
          <w:tcPr>
            <w:tcW w:type="dxa" w:w="2268"/>
            <w:tcBorders>
              <w:left w:sz="4" w:val="single"/>
              <w:top w:sz="6"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Аттестационные листы,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протоколы</w:t>
            </w:r>
          </w:p>
        </w:tc>
        <w:tc>
          <w:tcPr>
            <w:tcW w:type="dxa" w:w="1843"/>
            <w:tcBorders>
              <w:left w:sz="4" w:val="single"/>
              <w:top w:sz="6"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графику</w:t>
            </w:r>
          </w:p>
        </w:tc>
        <w:tc>
          <w:tcPr>
            <w:tcW w:type="dxa" w:w="1842"/>
            <w:tcBorders>
              <w:left w:sz="4" w:val="single"/>
              <w:top w:sz="6"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4.</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квалификационных экзаменов муниципальных служащих администрации Пикалевского городского поселения</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Экзаменационные листы, протоколы,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распоряжения администрации</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графику</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отдела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5.</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кадрового резерва для замещения должностей муниципальной службы в администрации Пикалевского городского поселения </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Кадровый резерв для замещения должностей муниципальной службы (Форма) </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IV квартал </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6.</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резерва управленческих кадров Пикалевского городского поселения</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Резерв управленческих кадров (Форма)</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II, III квартал</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7.</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color w:val="000000"/>
              </w:rPr>
              <w:t xml:space="preserve">Организация </w:t>
            </w:r>
            <w:r>
              <w:rPr>
                <w:rFonts w:ascii="Times New Roman" w:eastAsia="Times New Roman" w:hAnsi="Times New Roman" w:cs="Times New Roman"/>
                <w:sz w:val="24"/>
              </w:rPr>
              <w:t xml:space="preserve">получения дополнительного профессионального образования муниципальными служащими, лицами, замещающими должности, не являющимися должностями муниципальной службы, в ОМСУ, и лицами, зачисленными в кадровый резерв</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дополнительного профессионального образования</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8.</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проверки достоверности и полноты сведений, представляемых гражданами, претендующими на замещение должностей муниципальной службы в администрации Пикалевского городского поселения</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Материалы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проверки</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необходимости</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проверок соблюдения муниципальными служащими администрации Пикалевского городского поселения ограничений и запретов, требований о предотвращении или урегулировании конфликта интересов при исполнении ими обязанностей, установленных Федеральными законами от 2 марта 2007 года № 25-ФЗ «О муниципальной службе в Российской федерации» и от 25 декабря 2008 года № 273-ФЗ «О противодействии коррупции», требований к служебному поведению муниципальных служащих.</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проверок</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108" w:right="0" w:start="-108"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10.</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представления гражданами, претендующими на замещение должностей муниципальной службы в администрации Пикалевского городского поселения и муниципальными служащими администрации Пикалевского городского поселения сведений об адресах сайтов и (или) страниц сайтов в информационно-коммуникационной сети «Интернет», на которых муниципальным служащим, гражданином, претендующим на замещение должности муниципальной службы, размещались общедоступная информация, а также данные, позволяющие его идентифицировать (далее – сведения)</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Форма представления сведений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Для граждан – по мере поступления на муниципальную службу, для муниципальных служащих –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 1 апреля текущего года</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108" w:right="0" w:start="-108"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11.</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предоставления сведений о доходах, расходах, об имуществе и обязательствах имущественного характера муниципальными служащими администрации Пикалевского городского поселения за 2023 год.</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Справки о доходах, расходах, об имуществе и обязательствах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имущественного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характера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муниципальных служащих, их супруг (супругов) и несовершеннолетних детей, заполненные с использованием СПО «Справки БК»</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 30 апреля текущего года</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108" w:right="0" w:start="-108"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12.</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анализа справок о доходах, расходах, об имуществе и обязательствах имущественного характера, представленных муниципальными служащими администрации Пикалевского городского поселения за 2023 год.</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Справка о результатах анализа справок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 доходах, расходах, об имуществе и обязательствах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имущественного характера муниципальных служащих, их супруг (супругов) и несовершеннолетних детей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 10 мая текущего года</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108" w:right="0" w:start="-108"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13.</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проверок достоверности и полноты, представляемых муниципальными служащими администрации Пикалевского городского поселения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Распоряжения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 проведении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проверки</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После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30 апреля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текущего года</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108" w:right="0" w:start="-108"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14.</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предоставления сведений о доходах, об имуществе и обязательствах имущественного характера руководителями муниципальных учреждений Пикалевского городского поселения за 2023 год.</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Справки о доходах, об имуществе и обязательствах имущественного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характера руководителей муниципальных учреждений, их супруг (супругов) и несовершеннолетних детей, заполненные с использованием СПО «Справки БК»</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 30 апреля текущего года</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108" w:right="0" w:start="-108"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15.</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проверок достоверности и полноты, представляемых руководителями муниципальных учреждений Пикалевского городского поселения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Распоряжения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 проведении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проверки</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После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30 апреля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текущего года</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108" w:right="0" w:start="-108"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16.</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размещения на официальном сайте Пикалевского городского поселения сведений о доходах, об имуществе и обязательствах имущественного характера руководителей муниципальных учреждений МО «город Пикалево» и членов их семей за 2023 год.</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Сведения о доходах, об имуществе и обязательствах имущественного характера руководителей муниципальных учреждений и членов их семей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14 рабочих дней со дня истечения срока, установленного для подачи сведений.</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108" w:right="0" w:start="-108"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17.</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отчета о реализации Плана мероприятий по противодействию коррупции в Пикалевском городском поселении </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Отчет</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Ежеквартально </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108" w:right="0" w:start="-108"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18.</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заседаний комиссии по соблюдению требований к служебному поведению муниципальных служащих органов местного самоуправления Пикалевского городского поселения и урегулированию конфликта интересов.</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Протоколы</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необходимости</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108" w:right="0" w:start="-108"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19.</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заседаний комиссии по противодействию коррупции в Пикалевском городском поселении.</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Протоколы</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Ежеквартально</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108" w:right="0" w:start="-108"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20.</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заседаний конкурсной комиссии на замещение должностей муниципальной службы.</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Протоколы,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распоряжения администрации</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108" w:right="0" w:start="-108"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21.</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заседаний комиссии при главе администрации по установлению стажа муниципальной службы и доплате к пенсии работников ОМСУ Пикалевского городского поселения. </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Протоколы,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распоряжения администрации</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необходимости</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108" w:right="0" w:start="-108"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22.</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заседаний комиссии по установлению стажа непрерывной работы руководителям муниципальных учреждений Пикалевского городского поселения.</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Протоколы,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распоряжения администрации</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необходимости</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108" w:right="0" w:start="-108"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23.</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заседаний комиссии по оценке выполнения целевых показателей эффективности деятельности и стимулированию руководителей муниципальных учреждений Пикалевского городского поселения.</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Протоколы,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распоряжения администрации</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Ежеквартально </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c>
          <w:tcPr>
            <w:tcW w:type="dxa" w:w="426"/>
            <w:tcBorders>
              <w:left w:sz="4" w:val="single"/>
              <w:top w:sz="4" w:val="single"/>
              <w:right w:sz="4" w:val="single"/>
              <w:bottom w:sz="4" w:val="single"/>
            </w:tcBorders>
            <w:shd w:val="nil"/>
            <w:vAlign w:val="top"/>
            <w:textDirection w:val="lrTb"/>
            <w:gridSpan w:val="1"/>
          </w:tcPr>
          <w:p>
            <w:pPr>
              <w:jc w:val="center"/>
              <w:textAlignment w:val="auto"/>
              <w:ind w:left="-108" w:right="0" w:start="-108"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24.</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заседаний городской (муниципальной) аттестационной комиссии.</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Протоколы,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распоряжения администрации</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 </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r>
        <w:trPr>
          <w:trHeight w:val="1135" w:hRule="atLeast"/>
        </w:trPr>
        <w:tc>
          <w:tcPr>
            <w:tcW w:type="dxa" w:w="426"/>
            <w:tcBorders>
              <w:left w:sz="4" w:val="single"/>
              <w:top w:sz="4" w:val="single"/>
              <w:right w:sz="4" w:val="single"/>
              <w:bottom w:sz="4" w:val="single"/>
            </w:tcBorders>
            <w:shd w:val="nil"/>
            <w:vAlign w:val="top"/>
            <w:textDirection w:val="lrTb"/>
            <w:gridSpan w:val="1"/>
          </w:tcPr>
          <w:p>
            <w:pPr>
              <w:jc w:val="center"/>
              <w:textAlignment w:val="auto"/>
              <w:ind w:left="-108" w:right="0" w:start="-108"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25.</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Оформление наградных документов Почетных дипломов, Почетных грамот и Благодарностей главы администрации Пикалевского городского поселения.</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Постановления администрации,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документация в соответствии </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 Положениями</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специалист по кадровой работе ООиПО</w:t>
            </w:r>
          </w:p>
        </w:tc>
      </w:tr>
    </w:tbl>
    <w:p>
      <w:pPr>
        <w:jc w:val="left"/>
        <w:textAlignment w:val="auto"/>
        <w:ind w:left="0" w:right="0" w:start="0" w:end="0"/>
        <w:spacing w:after="0" w:line="240"/>
        <w:bidi w:val="false"/>
        <w:rPr>
          <w:rFonts w:ascii="Times New Roman" w:eastAsia="Times New Roman" w:hAnsi="Times New Roman" w:cs="Times New Roman"/>
          <w:sz w:val="20"/>
          <w:color w:val="000000"/>
        </w:rPr>
      </w:pPr>
    </w:p>
    <w:p>
      <w:pPr>
        <w:jc w:val="left"/>
        <w:textAlignment w:val="auto"/>
        <w:ind w:left="0" w:right="0" w:start="0" w:end="0"/>
        <w:spacing w:after="0" w:line="240"/>
        <w:bidi w:val="false"/>
        <w:rPr>
          <w:rFonts w:ascii="Times New Roman" w:eastAsia="Times New Roman" w:hAnsi="Times New Roman" w:cs="Times New Roman"/>
          <w:sz w:val="20"/>
          <w:color w:val="000000"/>
        </w:rPr>
      </w:pPr>
    </w:p>
    <w:p>
      <w:pPr>
        <w:jc w:val="left"/>
        <w:textAlignment w:val="auto"/>
        <w:ind w:left="0" w:right="0" w:start="0" w:end="0"/>
        <w:spacing w:after="0" w:line="240"/>
        <w:bidi w:val="false"/>
        <w:rPr>
          <w:rFonts w:ascii="Times New Roman" w:eastAsia="Times New Roman" w:hAnsi="Times New Roman" w:cs="Times New Roman"/>
          <w:sz w:val="20"/>
          <w:color w:val="000000"/>
        </w:rPr>
      </w:pPr>
    </w:p>
    <w:p>
      <w:pPr>
        <w:jc w:val="left"/>
        <w:textAlignment w:val="auto"/>
        <w:ind w:left="0" w:right="0" w:start="0" w:end="0"/>
        <w:spacing w:after="0" w:line="240"/>
        <w:bidi w:val="false"/>
        <w:rPr>
          <w:rFonts w:ascii="Times New Roman" w:eastAsia="Times New Roman" w:hAnsi="Times New Roman" w:cs="Times New Roman"/>
          <w:sz w:val="20"/>
          <w:color w:val="000000"/>
        </w:rPr>
      </w:pPr>
    </w:p>
    <w:p>
      <w:pPr>
        <w:jc w:val="center"/>
        <w:textAlignment w:val="auto"/>
        <w:ind w:left="0" w:right="0" w:start="0" w:end="0"/>
        <w:spacing w:after="24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9. СФЕРА КУЛЬТУРЫ, МОЛОДЕЖНОЙ ПОЛИТИКИ, ФИЗИЧЕСКОЙ КУЛЬТУРЫ И СПОРТА</w:t>
      </w:r>
    </w:p>
    <w:tbl>
      <w:tblPr>
        <w:tblLayout w:type="fixed"/>
        <w:tblInd w:w="-34" w:type="dxa"/>
        <w:tblW w:w="10348" w:type="dxa"/>
        <w:tblCellMar>
          <w:bottom w:w="0" w:type="dxa"/>
          <w:left w:w="108" w:type="dxa"/>
          <w:right w:w="108" w:type="dxa"/>
          <w:top w:w="0" w:type="dxa"/>
        </w:tblCellMar>
        <w:tblBorders>
          <w:left w:sz="4" w:space="0" w:val="single"/>
          <w:right w:sz="4" w:space="0" w:val="single"/>
          <w:top w:sz="4" w:space="0" w:val="single"/>
          <w:bottom w:sz="4" w:space="0" w:val="single"/>
          <w:insideV w:sz="4" w:space="0" w:val="single"/>
          <w:insideH w:sz="4" w:space="0" w:val="single"/>
        </w:tblBorders>
      </w:tblPr>
      <w:tblGrid>
        <w:gridCol w:w="568"/>
        <w:gridCol w:w="3827"/>
        <w:gridCol w:w="2268"/>
        <w:gridCol w:w="1843"/>
        <w:gridCol w:w="1842"/>
      </w:tblGrid>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Участие в соревнованиях различного уровня (в соответствии с календарем соревнований) </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Участие в фестивалях и конкурсах различного уровня (согласно положений)</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hanging="360" w:left="-108" w:right="0" w:start="-108" w:end="0"/>
              <w:adjustRightInd w:val="true"/>
              <w:spacing w:after="200" w:line="276"/>
              <w:contextualSpacing w:val="true"/>
              <w:bidi w:val="false"/>
              <w:numPr>
                <w:ilvl w:val="0"/>
                <w:numId w:val="18"/>
              </w:numPr>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3</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Участие коллективов в областных и районных праздниках</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13"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hanging="360" w:left="-108" w:right="0" w:start="-108" w:end="0"/>
              <w:adjustRightInd w:val="true"/>
              <w:spacing w:after="200" w:line="276"/>
              <w:contextualSpacing w:val="true"/>
              <w:bidi w:val="false"/>
              <w:numPr>
                <w:ilvl w:val="0"/>
                <w:numId w:val="18"/>
              </w:numPr>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4</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Гастроли профессиональных артистов, театров и т.д.</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13"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adjustRightInd w:val="true"/>
              <w:spacing w:after="200" w:line="276"/>
              <w:contextualSpacing w:val="true"/>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5</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Категорийные пешеходные походы</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adjustRightInd w:val="true"/>
              <w:spacing w:after="200" w:line="276"/>
              <w:contextualSpacing w:val="true"/>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6</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Рождественские елки</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3- 5 января</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34"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adjustRightInd w:val="true"/>
              <w:spacing w:after="200" w:line="276"/>
              <w:contextualSpacing w:val="true"/>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7</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Мероприятие, посвященное 80-летию полного освобождения Ленинграда от фашистской блокады</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27 января</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34"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adjustRightInd w:val="true"/>
              <w:spacing w:after="200" w:line="276"/>
              <w:contextualSpacing w:val="true"/>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8</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Уличная акция «Свеча памяти», посвященная 80-летию полного освобождения Ленинграда от фашистской блокады</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27 января</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34"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hanging="360" w:left="-108" w:right="0" w:start="-108" w:end="0"/>
              <w:adjustRightInd w:val="true"/>
              <w:spacing w:after="200" w:line="276"/>
              <w:contextualSpacing w:val="true"/>
              <w:bidi w:val="false"/>
              <w:numPr>
                <w:ilvl w:val="0"/>
                <w:numId w:val="18"/>
              </w:numPr>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9</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Турнир по хоккею</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Январь - февраль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457"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hanging="360" w:left="-108" w:right="0" w:start="-108" w:end="0"/>
              <w:adjustRightInd w:val="true"/>
              <w:spacing w:after="200" w:line="276"/>
              <w:contextualSpacing w:val="true"/>
              <w:bidi w:val="false"/>
              <w:numPr>
                <w:ilvl w:val="0"/>
                <w:numId w:val="18"/>
              </w:numPr>
              <w:shd w:fill="ffffff" w:val="clear"/>
              <w:tabs>
                <w:tab w:val="left" w:pos="0"/>
              </w:tabs>
              <w:rPr>
                <w:rFonts w:ascii="Times New Roman" w:eastAsia="Times New Roman" w:hAnsi="Times New Roman" w:cs="Times New Roman"/>
                <w:sz w:val="24"/>
              </w:rPr>
            </w:pPr>
            <w:r>
              <w:rPr>
                <w:rFonts w:ascii="Times New Roman" w:eastAsia="Times New Roman" w:hAnsi="Times New Roman" w:cs="Times New Roman"/>
                <w:sz w:val="24"/>
              </w:rPr>
              <w:t xml:space="preserve">10</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Традиционный турнир по гандболу, посвященный Дню защитника Отечества </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Февраль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424"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hanging="360" w:left="-108" w:right="0" w:start="-108" w:end="0"/>
              <w:adjustRightInd w:val="true"/>
              <w:spacing w:after="200" w:line="276"/>
              <w:contextualSpacing w:val="true"/>
              <w:bidi w:val="false"/>
              <w:numPr>
                <w:ilvl w:val="0"/>
                <w:numId w:val="18"/>
              </w:numPr>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11</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IX Открытый хореографический фестиваль – конкурс «Новое вдохновение»</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Февраль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24"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adjustRightInd w:val="true"/>
              <w:spacing w:after="200" w:line="276"/>
              <w:contextualSpacing w:val="true"/>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12</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Торжественно-траурное мероприятие, посвящённый Дню памяти о россиянах, исполнивших долг за пределами Отечества.</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15 февраля</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 </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13</w:t>
            </w:r>
          </w:p>
        </w:tc>
        <w:tc>
          <w:tcPr>
            <w:tcW w:type="dxa" w:w="3827"/>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Первенство города по волейболу среди любительских команд</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Февраль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482"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14</w:t>
            </w:r>
          </w:p>
        </w:tc>
        <w:tc>
          <w:tcPr>
            <w:tcW w:type="dxa" w:w="3827"/>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Первенство г.Пикалево по мини футболу </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Февраль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482"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15</w:t>
            </w:r>
          </w:p>
        </w:tc>
        <w:tc>
          <w:tcPr>
            <w:tcW w:type="dxa" w:w="3827"/>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Массовое гуляние «Широкая масленица»</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17 марта</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16</w:t>
            </w:r>
          </w:p>
        </w:tc>
        <w:tc>
          <w:tcPr>
            <w:tcW w:type="dxa" w:w="3827"/>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Первенство города по баскетболу среди женских любительских команд.</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Март</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17</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Тематическая вечеринка, посвященная международному женскому дню (8 марта)</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Март</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73"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18</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Открытое первенство г. Пикалево по лыжным гонкам, посвященное памяти тренера О.А. Куккета</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Март</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423"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19</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Городской легкоатлетический турнир «Шиповка юных»</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Апрель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601"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34" w:start="-108" w:end="34"/>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20</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Первенство г.Пикалево по кроссу среди образовательных учреждений</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Апрель </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566"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34" w:start="-108" w:end="34"/>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21</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Открытое первенство города Пикалево по легкоатлетическому кроссу «Пикалевская миля», посвященное памяти Н.В. Башмакова</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Апрель </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381"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34" w:start="-108" w:end="34"/>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22</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Открытое первенство города по классическому жиму и жиму в экипировке, посвященное 79-й годовщине со Дня Победы в Великой Отечественной войне 1941-1945 гг.</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Апрель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416"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34" w:start="-108" w:end="34"/>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23</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Городской праздник спортивных семей </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Апрель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34" w:start="-108" w:end="34"/>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24</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Традиционная легкоатлетическая эстафета, посвященная 79-й годовщине со Дня Победы в Великой Отечественной войне</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9 мая</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441"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34" w:start="-108" w:end="34"/>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25</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Праздничные мероприятия, посвященные 79-й годовщине со Дня Победы в Великой Отечественной войне (торжественный митинг, массовое гуляние)</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9 мая</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41"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34" w:start="-108" w:end="34"/>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26</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акции «Георгиевская ленточка»</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7-9 мая</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41"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34" w:start="-108" w:end="34"/>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27</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«Поклон тебе, Великая Победа» - книжно -иллюстративная выставка к 9 мая</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Май</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41"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34" w:start="-108" w:end="34"/>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28</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Отчетные концерты коллективов МУК ДК</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Апрель - май</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МУК ДК</w:t>
            </w:r>
          </w:p>
        </w:tc>
      </w:tr>
      <w:tr>
        <w:trPr>
          <w:trHeight w:val="420"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34" w:start="-108" w:end="34"/>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29</w:t>
            </w:r>
          </w:p>
        </w:tc>
        <w:tc>
          <w:tcPr>
            <w:tcW w:type="dxa" w:w="3827"/>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Первенство города Пикалево по стритболу среди молодежных и любительских команд</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Май</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549"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34" w:start="-108" w:end="34"/>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30</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Первенство Ленинградской области по футболу среди команд юношей</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Май - август</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360"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31</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Городской праздник, посвященный Дню защиты детей </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 июня</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70"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32</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Городской праздник, посвященный Дню независимости России </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12 июня</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20"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33</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Торжественная линейка выпускников школ города</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Июнь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20"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34</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Цикл мероприятий по Программе летних чтений</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Июль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20"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35</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Праздник, посвященный Дню металлурга</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Июль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20"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36</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работы летних трудовых бригад и Губернаторского молодежного трудового отряда - 2024</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Июнь-июль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20"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37</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Игровые программы «Уик-энд длиною в лето»</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Июнь - август</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17"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38</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спортивного досуга детей и молодежи в летний период </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Июнь-август</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353"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39</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color w:val="ff0000"/>
              </w:rPr>
            </w:pPr>
            <w:r>
              <w:rPr>
                <w:rFonts w:ascii="Times New Roman" w:eastAsia="Times New Roman" w:hAnsi="Times New Roman" w:cs="Times New Roman"/>
                <w:sz w:val="24"/>
              </w:rPr>
              <w:t xml:space="preserve">День Российского флага</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22 август</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27"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40</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День физкультурника</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Август</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427"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41</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Открытое Первенство Бокситогорского района - районный этап Всероссийского дня бега «Кросс нации»</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Сентябрь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427"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42</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Районный этап соревнований по легкой атлетике среди учебных заведений города (школьная спартакиада)</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Сентябрь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43</w:t>
            </w:r>
          </w:p>
        </w:tc>
        <w:tc>
          <w:tcPr>
            <w:tcW w:type="dxa" w:w="3827"/>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Открытое первенство города Пикалево «Кросс лыжников»</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Сентябрь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44</w:t>
            </w:r>
          </w:p>
        </w:tc>
        <w:tc>
          <w:tcPr>
            <w:tcW w:type="dxa" w:w="3827"/>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Праздник, посвященный Дню пожилого человека</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 октября</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45</w:t>
            </w:r>
          </w:p>
        </w:tc>
        <w:tc>
          <w:tcPr>
            <w:tcW w:type="dxa" w:w="3827"/>
            <w:tcBorders>
              <w:left w:sz="4" w:val="single"/>
              <w:top w:sz="4" w:val="single"/>
              <w:right w:sz="4" w:val="single"/>
              <w:bottom w:sz="4" w:val="single"/>
            </w:tcBorders>
            <w:shd w:val="nil"/>
            <w:vAlign w:val="top"/>
            <w:textDirection w:val="lrTb"/>
            <w:gridSpan w:val="1"/>
          </w:tcPr>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Городской турнир по баскетболу среди мужских команд  </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Октябрь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381"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46</w:t>
            </w:r>
          </w:p>
        </w:tc>
        <w:tc>
          <w:tcPr>
            <w:tcW w:type="dxa" w:w="3827"/>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Городской фестиваль ветеранов</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Октябрь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337"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47</w:t>
            </w:r>
          </w:p>
        </w:tc>
        <w:tc>
          <w:tcPr>
            <w:tcW w:type="dxa" w:w="3827"/>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Концерт, посвященный Дню народного единства</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4 ноября</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285"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48</w:t>
            </w:r>
          </w:p>
        </w:tc>
        <w:tc>
          <w:tcPr>
            <w:tcW w:type="dxa" w:w="3827"/>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Праздник «Золотые свадьбы»</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Ноябрь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409" w:hRule="atLeast"/>
        </w:trPr>
        <w:tc>
          <w:tcPr>
            <w:tcW w:type="dxa" w:w="568"/>
            <w:tcBorders>
              <w:left w:sz="4" w:val="single"/>
              <w:top w:sz="4" w:val="single"/>
              <w:right w:sz="4" w:val="single"/>
              <w:bottom w:sz="4" w:val="single"/>
            </w:tcBorders>
            <w:shd w:val="nil"/>
            <w:vAlign w:val="center"/>
            <w:textDirection w:val="lrTb"/>
            <w:gridSpan w:val="1"/>
          </w:tcPr>
          <w:p>
            <w:pPr>
              <w:jc w:val="left"/>
              <w:textAlignment w:val="auto"/>
              <w:ind w:left="-108" w:right="0" w:start="-108" w:end="0"/>
              <w:adjustRightInd w:val="true"/>
              <w:spacing w:after="200" w:line="276"/>
              <w:contextualSpacing w:val="true"/>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  49</w:t>
            </w:r>
          </w:p>
        </w:tc>
        <w:tc>
          <w:tcPr>
            <w:tcW w:type="dxa" w:w="3827"/>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Районный конкурс «Молодые дарования»</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Ноябрь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rPr>
          <w:trHeight w:val="357"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108" w:right="0" w:start="-108" w:end="0"/>
              <w:adjustRightInd w:val="true"/>
              <w:spacing w:after="200" w:line="276"/>
              <w:contextualSpacing w:val="true"/>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50</w:t>
            </w:r>
          </w:p>
        </w:tc>
        <w:tc>
          <w:tcPr>
            <w:tcW w:type="dxa" w:w="3827"/>
            <w:tcBorders>
              <w:left w:sz="4" w:val="single"/>
              <w:top w:sz="4" w:val="single"/>
              <w:right w:sz="4" w:val="single"/>
              <w:bottom w:sz="4" w:val="single"/>
            </w:tcBorders>
            <w:shd w:val="nil"/>
            <w:vAlign w:val="top"/>
            <w:textDirection w:val="lrTb"/>
            <w:gridSpan w:val="1"/>
          </w:tcPr>
          <w:p>
            <w:pPr>
              <w:jc w:val="left"/>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Городской спортивный праздник для ДОУ г.Пикалево</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Ноябрь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357"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392" w:right="-108" w:start="-392" w:end="-108"/>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   51</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Открытое первенство г.Пикалево по пауэрлифтингу, посвященное Дню города</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Ноябрь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rPr>
          <w:trHeight w:val="357" w:hRule="atLeast"/>
        </w:trPr>
        <w:tc>
          <w:tcPr>
            <w:tcW w:type="dxa" w:w="568"/>
            <w:tcBorders>
              <w:left w:sz="4" w:val="single"/>
              <w:top w:sz="4" w:val="single"/>
              <w:right w:sz="4" w:val="single"/>
              <w:bottom w:sz="4" w:val="single"/>
            </w:tcBorders>
            <w:shd w:val="nil"/>
            <w:vAlign w:val="center"/>
            <w:textDirection w:val="lrTb"/>
            <w:gridSpan w:val="1"/>
          </w:tcPr>
          <w:p>
            <w:pPr>
              <w:jc w:val="center"/>
              <w:textAlignment w:val="auto"/>
              <w:ind w:left="-392" w:right="-108" w:start="-392" w:end="-108"/>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   52</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XIV Районный фестиваль для детей с ограниченными возможностями здоровья «Мир равных возможностей»</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Декабрь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392" w:right="-108" w:start="-392" w:end="-108"/>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   53</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Открытое первенство Бокситогорского муниципального района по лыжным гонкам «Открытие зимнего сезона»</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Декабрь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392" w:right="-108" w:start="-392" w:end="-108"/>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   54</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Городской праздник, посвященный Дню города</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9 декабря</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392" w:right="-108" w:start="-392" w:end="-108"/>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   55</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Первенство города по легкой атлетике «Путь к рекордам», посвященное Дню города</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Декабрь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392" w:right="-108" w:start="-392" w:end="-108"/>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   56</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Открытый турнир по боксу, посвященный Дню города</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Декабрь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392" w:right="-108" w:start="-392" w:end="-108"/>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   57</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Открытое первенство г.Пикалево по классическому жиму лежа без экипировки</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Декабрь</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392" w:right="-108" w:start="-392" w:end="-108"/>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   58</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оперативных совещаний с руководителями подведомственных учреждений</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Еженедельно</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392" w:right="-108" w:start="-392" w:end="-108"/>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   59</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квартальных и годовых отчетов</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Установленные формы</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392" w:right="-108" w:start="-392" w:end="-108"/>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   60</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Контроль за деятельностью подведомственных учреждений</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w:t>
            </w:r>
          </w:p>
        </w:tc>
      </w:tr>
      <w:tr>
        <w:tc>
          <w:tcPr>
            <w:tcW w:type="dxa" w:w="568"/>
            <w:tcBorders>
              <w:left w:sz="4" w:val="single"/>
              <w:top w:sz="4" w:val="single"/>
              <w:right w:sz="4" w:val="single"/>
              <w:bottom w:sz="4" w:val="single"/>
            </w:tcBorders>
            <w:shd w:val="nil"/>
            <w:vAlign w:val="center"/>
            <w:textDirection w:val="lrTb"/>
            <w:gridSpan w:val="1"/>
          </w:tcPr>
          <w:p>
            <w:pPr>
              <w:jc w:val="center"/>
              <w:textAlignment w:val="auto"/>
              <w:ind w:left="-392" w:right="-108" w:start="-392" w:end="-108"/>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   61</w:t>
            </w:r>
          </w:p>
        </w:tc>
        <w:tc>
          <w:tcPr>
            <w:tcW w:type="dxa" w:w="3827"/>
            <w:tcBorders>
              <w:left w:sz="4" w:val="single"/>
              <w:top w:sz="4" w:val="single"/>
              <w:right w:sz="4" w:val="single"/>
              <w:bottom w:sz="4" w:val="single"/>
            </w:tcBorders>
            <w:shd w:val="nil"/>
            <w:vAlign w:val="top"/>
            <w:textDirection w:val="lrTb"/>
            <w:gridSpan w:val="1"/>
          </w:tcPr>
          <w:p>
            <w:pPr>
              <w:jc w:val="both"/>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Разработка ежемесячных и годовых планов работы совместно с подведомственными учреждениями</w:t>
            </w:r>
          </w:p>
        </w:tc>
        <w:tc>
          <w:tcPr>
            <w:tcW w:type="dxa" w:w="2268"/>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4" w:val="single"/>
              <w:top w:sz="4" w:val="single"/>
              <w:right w:sz="4" w:val="single"/>
              <w:bottom w:sz="4" w:val="single"/>
            </w:tcBorders>
            <w:shd w:val="nil"/>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842"/>
            <w:tcBorders>
              <w:left w:sz="4" w:val="single"/>
              <w:top w:sz="4" w:val="single"/>
              <w:right w:sz="4" w:val="single"/>
              <w:bottom w:sz="4" w:val="single"/>
            </w:tcBorders>
            <w:shd w:val="nil"/>
            <w:vAlign w:val="top"/>
            <w:textDirection w:val="lrTb"/>
            <w:gridSpan w:val="1"/>
          </w:tcPr>
          <w:p>
            <w:pPr>
              <w:jc w:val="center"/>
              <w:textAlignment w:val="auto"/>
              <w:ind w:left="-104" w:right="0" w:start="-104"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ООиПО, </w:t>
            </w:r>
          </w:p>
          <w:p>
            <w:pPr>
              <w:jc w:val="center"/>
              <w:textAlignment w:val="auto"/>
              <w:ind w:left="-104" w:right="0" w:start="-104"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 ФОК,</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МУК ДК</w:t>
            </w:r>
          </w:p>
        </w:tc>
      </w:tr>
    </w:tbl>
    <w:p>
      <w:pPr>
        <w:jc w:val="center"/>
        <w:textAlignment w:val="auto"/>
        <w:ind w:left="0" w:right="0" w:start="0" w:end="0"/>
        <w:spacing w:after="0" w:line="240"/>
        <w:bidi w:val="false"/>
        <w:rPr>
          <w:b w:val="true"/>
          <w:rFonts w:ascii="Times New Roman" w:eastAsia="Times New Roman" w:hAnsi="Times New Roman" w:cs="Times New Roman"/>
          <w:sz w:val="20"/>
        </w:rPr>
      </w:pPr>
    </w:p>
    <w:p>
      <w:pPr>
        <w:jc w:val="center"/>
        <w:textAlignment w:val="auto"/>
        <w:ind w:left="0" w:right="0" w:start="0" w:end="0"/>
        <w:spacing w:after="240" w:line="240"/>
        <w:bidi w:val="false"/>
        <w:rPr>
          <w:rFonts w:ascii="Times New Roman" w:eastAsia="Times New Roman" w:hAnsi="Times New Roman" w:cs="Times New Roman"/>
          <w:sz w:val="20"/>
        </w:rPr>
      </w:pPr>
      <w:r>
        <w:rPr>
          <w:b w:val="true"/>
          <w:rFonts w:ascii="Times New Roman" w:eastAsia="Times New Roman" w:hAnsi="Times New Roman" w:cs="Times New Roman"/>
          <w:sz w:val="28"/>
        </w:rPr>
        <w:t xml:space="preserve">10. МЕРОПРИЯТИЯ ПО ПЕРВИЧНОМУ ВОИНСКОМУ УЧЕТУ</w:t>
      </w:r>
    </w:p>
    <w:tbl>
      <w:tblPr>
        <w:tblLayout w:type="fixed"/>
        <w:tblInd w:w="-102" w:type="dxa"/>
        <w:tblW w:w="10348" w:type="dxa"/>
        <w:tblCellMar>
          <w:bottom w:w="0" w:type="dxa"/>
          <w:left w:w="40" w:type="dxa"/>
          <w:right w:w="40" w:type="dxa"/>
          <w:top w:w="0" w:type="dxa"/>
        </w:tblCellMar>
        <w:tblBorders>
          <w:left w:sz="0" w:space="0" w:val="nil"/>
          <w:right w:sz="0" w:space="0" w:val="nil"/>
          <w:top w:sz="0" w:space="0" w:val="nil"/>
          <w:bottom w:sz="0" w:space="0" w:val="nil"/>
          <w:insideV w:sz="0" w:space="0" w:val="nil"/>
          <w:insideH w:sz="0" w:space="0" w:val="nil"/>
        </w:tblBorders>
      </w:tblPr>
      <w:tblGrid>
        <w:gridCol w:w="568"/>
        <w:gridCol w:w="3827"/>
        <w:gridCol w:w="2268"/>
        <w:gridCol w:w="1843"/>
        <w:gridCol w:w="1842"/>
      </w:tblGrid>
      <w:tr>
        <w:trPr>
          <w:trHeight w:val="1764"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работы по осуществлению первичного воинского учета граждан, пребывающих в запасе и граждан, подлежащих призыву на военную службу</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Заведующий военно-учетным столом (ВУС)</w:t>
            </w:r>
          </w:p>
        </w:tc>
      </w:tr>
      <w:tr>
        <w:trPr>
          <w:trHeight w:val="1153"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работы по осуществлению снятия с воинского учета ГПЗ, достигших предельного возраста пребывания в запасе</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Январь </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Заведующий ВУС</w:t>
            </w:r>
          </w:p>
        </w:tc>
      </w:tr>
      <w:tr>
        <w:trPr>
          <w:trHeight w:val="572"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3.</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мероприятий, связанных с первоначальной постановкой граждан на воинский учет</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Январь-февраль</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Заведующий ВУС,</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инспектор ВУС</w:t>
            </w:r>
          </w:p>
        </w:tc>
      </w:tr>
      <w:tr>
        <w:trPr>
          <w:trHeight w:val="1664"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76"/>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4.</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Представление в военный комиссариат гг.Бокситогорск и Тихвин, Бокситогорского и Тихвинского районов (военный комиссариат) отчета о состоянии первичного воинского учета</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Отчет</w:t>
            </w:r>
          </w:p>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установленной форме</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до 1 февраля</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Заведующий ВУС</w:t>
            </w:r>
          </w:p>
        </w:tc>
      </w:tr>
      <w:tr>
        <w:trPr>
          <w:trHeight w:val="1162"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76"/>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5.</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Участие в подготовке и проведение мероприятий, посвященных  годовщине вывода войск из республики Афганистан</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15 февраля</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Общий отдел, ВУС,</w:t>
            </w:r>
          </w:p>
        </w:tc>
      </w:tr>
      <w:tr>
        <w:trPr>
          <w:trHeight w:val="1405"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76"/>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6.</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Сверка документов первичного воинского учета с документами воинского учета организаций находящихся на территории города, а также с карточками регистрации</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План сверок</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Январь-март</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Заведующий ВУС</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инспектор ВУС</w:t>
            </w:r>
          </w:p>
        </w:tc>
      </w:tr>
      <w:tr>
        <w:trPr>
          <w:trHeight w:val="1141"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76"/>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7.</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Сверка документов первичного воинского учета с документами воинского учета военного комиссариата </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График сверок военного комиссариата</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Согласно графика сверок военного комиссариата</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Инспектор ВУС, специалисты военного комиссариатавоенного комиссариата</w:t>
            </w:r>
          </w:p>
        </w:tc>
      </w:tr>
      <w:tr>
        <w:trPr>
          <w:trHeight w:val="889"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76"/>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8.</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Участие в организации контроля за ведением воинского учета в организациях, </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План проверок</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Заведующий ВУС,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инспектор ВУС</w:t>
            </w:r>
          </w:p>
        </w:tc>
      </w:tr>
      <w:tr>
        <w:trPr>
          <w:trHeight w:val="2233"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76"/>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9.</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Участие в проведении мероприятий, связанных с проведением частичной мобилизации граждан, а также граждан добровольно участвующих в выполнении задач по предназначению за пределами Российской Федерации пребывающих в запасе</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 особому плану военного комиссариата</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необходимости</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Заведующий ВУС,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инспектор ВУС</w:t>
            </w:r>
          </w:p>
        </w:tc>
      </w:tr>
      <w:tr>
        <w:trPr>
          <w:trHeight w:val="3116"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76"/>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10.</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Разъяснение должностным лицам организаций и гражданам их обязанностей по воинскому учету, мобилизационной подготовке и мобилизации, установленные законодательством Российской Федерации, осуществление контроля их исполнения, а также информирование об ответственности за неисполнение указанных обязанностей</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При посещении гражданами ВУС, сверках и проверках организаций</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Заведующий ВУС, </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инспектор ВУС</w:t>
            </w:r>
          </w:p>
        </w:tc>
      </w:tr>
      <w:tr>
        <w:trPr>
          <w:trHeight w:val="885"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76"/>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11.</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Проведение мероприятий, связанных с призывом граждан на военную службу</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Апрель, октябрь</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Заведующий ВУС,</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инспектор ВУС,</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специалисты военного комиссариата</w:t>
            </w:r>
          </w:p>
        </w:tc>
      </w:tr>
      <w:tr>
        <w:trPr>
          <w:trHeight w:val="858"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76"/>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12.</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Участие в подготовке и проведение мероприятий, посвященных  празднованию Дня Победы 9 Мая</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План мероприятий</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Апрель-май</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Общий отдел, ВУС,</w:t>
            </w:r>
          </w:p>
        </w:tc>
      </w:tr>
      <w:tr>
        <w:trPr>
          <w:trHeight w:val="955"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76"/>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13.</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Уничтожение документов первичного воинского учета граждан, снятых с воинского учета</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Акт сверки</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После сверки с военным комиссариатом</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Инспектор ВУС</w:t>
            </w:r>
          </w:p>
        </w:tc>
      </w:tr>
      <w:tr>
        <w:trPr>
          <w:trHeight w:val="942"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76"/>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14.</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Изучение руководящих документов по воинскому учету граждан</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adjustRightInd w:val="true"/>
              <w:spacing w:after="0" w:line="240"/>
              <w:bidi w:val="false"/>
              <w:rPr>
                <w:rFonts w:ascii="Times New Roman" w:eastAsia="Times New Roman" w:hAnsi="Times New Roman" w:cs="Times New Roman"/>
                <w:sz w:val="24"/>
              </w:rPr>
            </w:pP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Заведующий ВУС,</w:t>
            </w:r>
          </w:p>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инспектор ВУС</w:t>
            </w:r>
          </w:p>
        </w:tc>
      </w:tr>
    </w:tbl>
    <w:p>
      <w:pPr>
        <w:jc w:val="left"/>
        <w:textAlignment w:val="auto"/>
        <w:ind w:left="0" w:right="0" w:start="0" w:end="0"/>
        <w:spacing w:after="0" w:line="240"/>
        <w:bidi w:val="false"/>
        <w:rPr>
          <w:rFonts w:ascii="Times New Roman" w:eastAsia="Times New Roman" w:hAnsi="Times New Roman" w:cs="Times New Roman"/>
          <w:sz w:val="20"/>
        </w:rPr>
      </w:pPr>
    </w:p>
    <w:p>
      <w:pPr>
        <w:jc w:val="center"/>
        <w:textAlignment w:val="auto"/>
        <w:ind w:left="0" w:right="-370" w:start="0" w:end="-370"/>
        <w:spacing w:after="240" w:line="240"/>
        <w:bidi w:val="false"/>
        <w:shd w:fill="ffffff" w:val="clear"/>
        <w:rPr>
          <w:rFonts w:ascii="Times New Roman" w:eastAsia="Times New Roman" w:hAnsi="Times New Roman" w:cs="Times New Roman"/>
          <w:sz w:val="28"/>
        </w:rPr>
      </w:pPr>
      <w:r>
        <w:rPr>
          <w:rFonts w:ascii="Times New Roman" w:eastAsia="Times New Roman" w:hAnsi="Times New Roman" w:cs="Times New Roman"/>
          <w:sz w:val="28"/>
        </w:rPr>
        <w:tab/>
      </w:r>
      <w:r>
        <w:rPr>
          <w:b w:val="true"/>
          <w:rFonts w:ascii="Times New Roman" w:eastAsia="Times New Roman" w:hAnsi="Times New Roman" w:cs="Times New Roman"/>
          <w:sz w:val="28"/>
        </w:rPr>
        <w:t xml:space="preserve">11. МЕРОПРИЯТИЯ, ПРОВОДИМЫЕ СЕКТОРОМ ПО ОБЕСПЕЧЕНИЮ ДЕЯТЕЛЬНОСТИ КОМИССИИ ПО ДЕЛАМ НЕСОВЕРШЕНОЛЕТНИХ И ЗАЩИТЕ ИХ ПРАВ (СОД КДН и ЗП)</w:t>
      </w:r>
    </w:p>
    <w:tbl>
      <w:tblPr>
        <w:tblLayout w:type="fixed"/>
        <w:tblInd w:w="-102" w:type="dxa"/>
        <w:tblW w:w="10348" w:type="dxa"/>
        <w:tblCellMar>
          <w:bottom w:w="0" w:type="dxa"/>
          <w:left w:w="40" w:type="dxa"/>
          <w:right w:w="40" w:type="dxa"/>
          <w:top w:w="0" w:type="dxa"/>
        </w:tblCellMar>
        <w:tblBorders>
          <w:left w:sz="0" w:space="0" w:val="nil"/>
          <w:right w:sz="0" w:space="0" w:val="nil"/>
          <w:top w:sz="0" w:space="0" w:val="nil"/>
          <w:bottom w:sz="0" w:space="0" w:val="nil"/>
          <w:insideV w:sz="0" w:space="0" w:val="nil"/>
          <w:insideH w:sz="0" w:space="0" w:val="nil"/>
        </w:tblBorders>
      </w:tblPr>
      <w:tblGrid>
        <w:gridCol w:w="568"/>
        <w:gridCol w:w="3827"/>
        <w:gridCol w:w="2268"/>
        <w:gridCol w:w="1843"/>
        <w:gridCol w:w="1842"/>
      </w:tblGrid>
      <w:tr>
        <w:trPr>
          <w:trHeight w:val="2856"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1.</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10" w:start="0" w:end="10"/>
              <w:spacing w:after="0" w:line="278"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и организация проведения заседаний комиссии по делам несовершеннолетних и защите их прав, заседаний постоянно действующего штаба по профилактике безнадзорности и правонарушений несовершеннолетних при КДН и ЗП, иных плановых мероприятий комиссии.</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hanging="90" w:left="192" w:right="0" w:start="192" w:end="0"/>
              <w:spacing w:after="0" w:line="278" w:lineRule="exact"/>
              <w:bidi w:val="false"/>
              <w:shd w:fill="ffffff" w:val="clear"/>
              <w:tabs>
                <w:tab w:val="left" w:pos="1905"/>
              </w:tabs>
              <w:rPr>
                <w:rFonts w:ascii="Times New Roman" w:eastAsia="Times New Roman" w:hAnsi="Times New Roman" w:cs="Times New Roman"/>
                <w:sz w:val="24"/>
              </w:rPr>
            </w:pPr>
            <w:r>
              <w:rPr>
                <w:rFonts w:ascii="Times New Roman" w:eastAsia="Times New Roman" w:hAnsi="Times New Roman" w:cs="Times New Roman"/>
                <w:sz w:val="24"/>
              </w:rPr>
              <w:t xml:space="preserve">Проект </w:t>
            </w:r>
          </w:p>
          <w:p>
            <w:pPr>
              <w:jc w:val="center"/>
              <w:textAlignment w:val="auto"/>
              <w:ind w:hanging="90" w:left="192" w:right="0" w:start="192" w:end="0"/>
              <w:spacing w:after="0" w:line="278" w:lineRule="exact"/>
              <w:bidi w:val="false"/>
              <w:shd w:fill="ffffff" w:val="clear"/>
              <w:tabs>
                <w:tab w:val="left" w:pos="1905"/>
              </w:tabs>
              <w:rPr>
                <w:rFonts w:ascii="Times New Roman" w:eastAsia="Times New Roman" w:hAnsi="Times New Roman" w:cs="Times New Roman"/>
                <w:sz w:val="24"/>
              </w:rPr>
            </w:pPr>
            <w:r>
              <w:rPr>
                <w:rFonts w:ascii="Times New Roman" w:eastAsia="Times New Roman" w:hAnsi="Times New Roman" w:cs="Times New Roman"/>
                <w:sz w:val="24"/>
              </w:rPr>
              <w:t xml:space="preserve">протокола заседания, постановления и определения комиссии</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Согласно плану работы КДН и ЗП</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101" w:right="259" w:start="10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Заведующий  СОД КДН и ЗП</w:t>
            </w:r>
          </w:p>
          <w:p>
            <w:pPr>
              <w:jc w:val="center"/>
              <w:textAlignment w:val="auto"/>
              <w:ind w:left="101" w:right="259" w:start="101" w:end="259"/>
              <w:spacing w:after="0" w:line="240"/>
              <w:bidi w:val="false"/>
              <w:shd w:fill="ffffff" w:val="clear"/>
              <w:rPr>
                <w:rFonts w:ascii="Times New Roman" w:eastAsia="Times New Roman" w:hAnsi="Times New Roman" w:cs="Times New Roman"/>
                <w:sz w:val="24"/>
              </w:rPr>
            </w:pPr>
          </w:p>
          <w:p>
            <w:pPr>
              <w:jc w:val="center"/>
              <w:textAlignment w:val="auto"/>
              <w:ind w:left="101" w:right="259" w:start="101" w:end="259"/>
              <w:spacing w:after="0" w:line="240"/>
              <w:bidi w:val="false"/>
              <w:shd w:fill="ffffff" w:val="clear"/>
              <w:rPr>
                <w:rFonts w:ascii="Times New Roman" w:eastAsia="Times New Roman" w:hAnsi="Times New Roman" w:cs="Times New Roman"/>
                <w:sz w:val="24"/>
              </w:rPr>
            </w:pPr>
          </w:p>
        </w:tc>
      </w:tr>
      <w:tr>
        <w:trPr>
          <w:trHeight w:val="1990"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2..</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10" w:start="0" w:end="10"/>
              <w:spacing w:after="0" w:line="278"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Подготовка информационных и аналитических материалов по вопросам профилактики безнадзорности и правонарушений несовершеннолетних,</w:t>
            </w:r>
            <w:r>
              <w:rPr>
                <w:rFonts w:ascii="Times New Roman" w:eastAsia="Times New Roman" w:hAnsi="Times New Roman" w:cs="Times New Roman"/>
                <w:sz w:val="20"/>
              </w:rPr>
              <w:t xml:space="preserve"> </w:t>
            </w:r>
            <w:r>
              <w:rPr>
                <w:rFonts w:ascii="Times New Roman" w:eastAsia="Times New Roman" w:hAnsi="Times New Roman" w:cs="Times New Roman"/>
                <w:sz w:val="24"/>
              </w:rPr>
              <w:t xml:space="preserve">отчетов по вопросам, относящимся к компетенции комиссии</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hanging="90" w:left="192" w:right="0" w:start="192" w:end="0"/>
              <w:spacing w:after="0" w:line="278" w:lineRule="exact"/>
              <w:bidi w:val="false"/>
              <w:shd w:fill="ffffff" w:val="clear"/>
              <w:tabs>
                <w:tab w:val="left" w:pos="1905"/>
              </w:tabs>
              <w:rPr>
                <w:rFonts w:ascii="Times New Roman" w:eastAsia="Times New Roman" w:hAnsi="Times New Roman" w:cs="Times New Roman"/>
                <w:sz w:val="24"/>
              </w:rPr>
            </w:pPr>
            <w:r>
              <w:rPr>
                <w:rFonts w:ascii="Times New Roman" w:eastAsia="Times New Roman" w:hAnsi="Times New Roman" w:cs="Times New Roman"/>
                <w:sz w:val="24"/>
              </w:rPr>
              <w:t xml:space="preserve">Информационная справка, отчет</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Ежемесячно,</w:t>
            </w:r>
          </w:p>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ежеквартально</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101" w:right="259" w:start="10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Заведующий  СОД КДН и ЗП</w:t>
            </w:r>
          </w:p>
        </w:tc>
      </w:tr>
      <w:tr>
        <w:trPr>
          <w:trHeight w:val="2259"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3.</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10" w:start="0" w:end="10"/>
              <w:spacing w:after="0" w:line="278"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Освещение деятельности комиссии по делам несовершеннолетних и защите из прав при администрации Пикалевского городского поселения в средствах массовой информации, в информационно-телекоммуникационной сети «Интернет».</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hanging="90" w:left="192" w:right="0" w:start="192" w:end="0"/>
              <w:spacing w:after="0" w:line="278" w:lineRule="exact"/>
              <w:bidi w:val="false"/>
              <w:shd w:fill="ffffff" w:val="clear"/>
              <w:tabs>
                <w:tab w:val="left" w:pos="1905"/>
              </w:tabs>
              <w:rPr>
                <w:rFonts w:ascii="Times New Roman" w:eastAsia="Times New Roman" w:hAnsi="Times New Roman" w:cs="Times New Roman"/>
                <w:sz w:val="24"/>
              </w:rPr>
            </w:pPr>
            <w:r>
              <w:rPr>
                <w:rFonts w:ascii="Times New Roman" w:eastAsia="Times New Roman" w:hAnsi="Times New Roman" w:cs="Times New Roman"/>
                <w:sz w:val="24"/>
              </w:rPr>
              <w:t xml:space="preserve">Информация</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101" w:right="259" w:start="10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Заведующий СОД КДН и ЗП</w:t>
            </w:r>
          </w:p>
        </w:tc>
      </w:tr>
      <w:tr>
        <w:trPr>
          <w:trHeight w:val="1993"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4.</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10" w:start="0" w:end="10"/>
              <w:spacing w:after="0" w:line="278"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проверки и рассмотрения поступивших в комиссию обращений граждан, сообщений органов и учреждений системы профилактики безнадзорности и правонарушений несовершеннолетних</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hanging="90" w:left="192" w:right="0" w:start="192" w:end="0"/>
              <w:spacing w:after="0" w:line="278" w:lineRule="exact"/>
              <w:bidi w:val="false"/>
              <w:shd w:fill="ffffff" w:val="clear"/>
              <w:tabs>
                <w:tab w:val="left" w:pos="1905"/>
              </w:tabs>
              <w:rPr>
                <w:rFonts w:ascii="Times New Roman" w:eastAsia="Times New Roman" w:hAnsi="Times New Roman" w:cs="Times New Roman"/>
                <w:sz w:val="24"/>
              </w:rPr>
            </w:pPr>
            <w:r>
              <w:rPr>
                <w:rFonts w:ascii="Times New Roman" w:eastAsia="Times New Roman" w:hAnsi="Times New Roman" w:cs="Times New Roman"/>
                <w:sz w:val="24"/>
              </w:rPr>
              <w:t xml:space="preserve">Запросы, ответы</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По мере поступления </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101" w:right="259" w:start="10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Заведующий СОД КДН и ЗП</w:t>
            </w:r>
          </w:p>
        </w:tc>
      </w:tr>
      <w:tr>
        <w:trPr>
          <w:trHeight w:val="2830"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5.</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10" w:start="0" w:end="10"/>
              <w:spacing w:after="0" w:line="278"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Осуществление взаимодействия с федеральными государственными органами, органами государственной власти Ленинградской области, органами местного самоуправления, общественными и иными объединениями, организациями для решения задач, стоящих перед КДН и ЗП</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firstLine="50" w:left="192" w:right="0" w:start="192" w:end="0"/>
              <w:spacing w:after="0" w:line="278" w:lineRule="exact"/>
              <w:bidi w:val="false"/>
              <w:shd w:fill="ffffff" w:val="clear"/>
              <w:tabs>
                <w:tab w:val="left" w:pos="1905"/>
              </w:tabs>
              <w:rPr>
                <w:rFonts w:ascii="Times New Roman" w:eastAsia="Times New Roman" w:hAnsi="Times New Roman" w:cs="Times New Roman"/>
                <w:sz w:val="24"/>
              </w:rPr>
            </w:pPr>
            <w:r>
              <w:rPr>
                <w:rFonts w:ascii="Times New Roman" w:eastAsia="Times New Roman" w:hAnsi="Times New Roman" w:cs="Times New Roman"/>
                <w:sz w:val="24"/>
              </w:rPr>
              <w:t xml:space="preserve">Письма, запросы, постановления</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 течение года</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101" w:right="259" w:start="10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Заведующий СОД КДН и ЗП</w:t>
            </w:r>
          </w:p>
        </w:tc>
      </w:tr>
      <w:tr>
        <w:trPr>
          <w:trHeight w:val="1992" w:hRule="exact"/>
        </w:trPr>
        <w:tc>
          <w:tcPr>
            <w:tcW w:type="dxa" w:w="568"/>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6.</w:t>
            </w:r>
          </w:p>
        </w:tc>
        <w:tc>
          <w:tcPr>
            <w:tcW w:type="dxa" w:w="3827"/>
            <w:tcBorders>
              <w:left w:sz="6" w:val="single"/>
              <w:top w:sz="6" w:val="single"/>
              <w:right w:sz="6" w:val="single"/>
              <w:bottom w:sz="6" w:val="single"/>
            </w:tcBorders>
            <w:shd w:fill="ffffff" w:val="clear"/>
            <w:vAlign w:val="top"/>
            <w:textDirection w:val="lrTb"/>
            <w:gridSpan w:val="1"/>
          </w:tcPr>
          <w:p>
            <w:pPr>
              <w:jc w:val="both"/>
              <w:textAlignment w:val="auto"/>
              <w:ind w:left="0" w:right="10" w:start="0" w:end="10"/>
              <w:spacing w:after="0" w:line="278" w:lineRule="exact"/>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Осуществление сбора, обобщение информации о численности несовершеннолетних (семей), находящихся в социально опасном положении, на территории Пикалевского городского поселения.</w:t>
            </w:r>
          </w:p>
        </w:tc>
        <w:tc>
          <w:tcPr>
            <w:tcW w:type="dxa" w:w="2268"/>
            <w:tcBorders>
              <w:left w:sz="6" w:val="single"/>
              <w:top w:sz="6" w:val="single"/>
              <w:right w:sz="6" w:val="single"/>
              <w:bottom w:sz="6" w:val="single"/>
            </w:tcBorders>
            <w:shd w:fill="ffffff" w:val="clear"/>
            <w:vAlign w:val="top"/>
            <w:textDirection w:val="lrTb"/>
            <w:gridSpan w:val="1"/>
          </w:tcPr>
          <w:p>
            <w:pPr>
              <w:jc w:val="center"/>
              <w:textAlignment w:val="auto"/>
              <w:ind w:firstLine="50" w:left="192" w:right="0" w:start="192" w:end="0"/>
              <w:spacing w:after="0" w:line="278" w:lineRule="exact"/>
              <w:bidi w:val="false"/>
              <w:shd w:fill="ffffff" w:val="clear"/>
              <w:tabs>
                <w:tab w:val="left" w:pos="1905"/>
              </w:tabs>
              <w:rPr>
                <w:rFonts w:ascii="Times New Roman" w:eastAsia="Times New Roman" w:hAnsi="Times New Roman" w:cs="Times New Roman"/>
                <w:sz w:val="24"/>
              </w:rPr>
            </w:pPr>
            <w:r>
              <w:rPr>
                <w:rFonts w:ascii="Times New Roman" w:eastAsia="Times New Roman" w:hAnsi="Times New Roman" w:cs="Times New Roman"/>
                <w:sz w:val="24"/>
              </w:rPr>
              <w:t xml:space="preserve">Постановления</w:t>
            </w:r>
          </w:p>
        </w:tc>
        <w:tc>
          <w:tcPr>
            <w:tcW w:type="dxa" w:w="1843"/>
            <w:tcBorders>
              <w:left w:sz="6" w:val="single"/>
              <w:top w:sz="6" w:val="single"/>
              <w:right w:sz="6" w:val="single"/>
              <w:bottom w:sz="6" w:val="single"/>
            </w:tcBorders>
            <w:shd w:fill="ffffff" w:val="clear"/>
            <w:vAlign w:val="top"/>
            <w:textDirection w:val="lrTb"/>
            <w:gridSpan w:val="1"/>
          </w:tcPr>
          <w:p>
            <w:pPr>
              <w:jc w:val="center"/>
              <w:textAlignment w:val="auto"/>
              <w:ind w:left="0" w:right="0" w:start="0" w:end="0"/>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t xml:space="preserve">Весь период</w:t>
            </w:r>
          </w:p>
        </w:tc>
        <w:tc>
          <w:tcPr>
            <w:tcW w:type="dxa" w:w="1842"/>
            <w:tcBorders>
              <w:left w:sz="6" w:val="single"/>
              <w:top w:sz="6" w:val="single"/>
              <w:right w:sz="6" w:val="single"/>
              <w:bottom w:sz="6" w:val="single"/>
            </w:tcBorders>
            <w:shd w:fill="ffffff" w:val="clear"/>
            <w:vAlign w:val="top"/>
            <w:textDirection w:val="lrTb"/>
            <w:gridSpan w:val="1"/>
          </w:tcPr>
          <w:p>
            <w:pPr>
              <w:jc w:val="center"/>
              <w:textAlignment w:val="auto"/>
              <w:ind w:left="101" w:right="259" w:start="101" w:end="259"/>
              <w:spacing w:after="0" w:line="240"/>
              <w:bidi w:val="false"/>
              <w:shd w:fill="ffffff" w:val="clear"/>
              <w:rPr>
                <w:rFonts w:ascii="Times New Roman" w:eastAsia="Times New Roman" w:hAnsi="Times New Roman" w:cs="Times New Roman"/>
                <w:sz w:val="24"/>
              </w:rPr>
            </w:pPr>
            <w:r>
              <w:rPr>
                <w:rFonts w:ascii="Times New Roman" w:eastAsia="Times New Roman" w:hAnsi="Times New Roman" w:cs="Times New Roman"/>
                <w:sz w:val="24"/>
              </w:rPr>
              <w:t xml:space="preserve">Заведующий СОД КДН и ЗП</w:t>
            </w:r>
          </w:p>
        </w:tc>
      </w:tr>
    </w:tbl>
    <w:p>
      <w:pPr>
        <w:jc w:val="center"/>
        <w:textAlignment w:val="auto"/>
        <w:ind w:left="0" w:right="0" w:start="0" w:end="0"/>
        <w:spacing w:after="0" w:line="240"/>
        <w:bidi w:val="false"/>
        <w:rPr>
          <w:rFonts w:ascii="Times New Roman" w:eastAsia="Times New Roman" w:hAnsi="Times New Roman" w:cs="Times New Roman"/>
          <w:sz w:val="28"/>
        </w:rPr>
      </w:pPr>
    </w:p>
    <w:p>
      <w:pPr>
        <w:jc w:val="center"/>
        <w:textAlignment w:val="auto"/>
        <w:ind w:left="0" w:right="0" w:start="0" w:end="0"/>
        <w:spacing w:after="0" w:line="240"/>
        <w:bidi w:val="false"/>
        <w:rPr>
          <w:rFonts w:ascii="Times New Roman" w:eastAsia="Times New Roman" w:hAnsi="Times New Roman" w:cs="Times New Roman"/>
          <w:sz w:val="20"/>
        </w:rPr>
      </w:pPr>
    </w:p>
    <w:sectPr>
      <w:cols w:num="1" w:space="708" w:equalWidth="true"/>
      <w:footnotePr>
        <w:pos w:val="pageBottom"/>
      </w:footnotePr>
      <w:lnNumType w:distance="0"/>
      <w:pgSz w:w="11906" w:h="16838"/>
      <w:pgMar w:left="1418" w:right="567" w:top="1134" w:bottom="567" w:gutter="0" w:header="709" w:footer="709"/>
      <w:titlePg/>
      <w:headerReference w:type="default" r:id="rId5"/>
    </w:sectPr>
  </w:body>
</w:document>
</file>

<file path=word/endnotes.xml><?xml version="1.0" encoding="utf-8"?>
<w:endnotes xmlns:wpc="http://schemas.microsoft.com/office/word/2008/6/28/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08/9/16/wordprocessingDrawing" xmlns:wp="http://schemas.openxmlformats.org/drawingml/2006/wordprocessingDrawing" xmlns:w10="urn:schemas-microsoft-com:office:word" xmlns:w="http://schemas.openxmlformats.org/wordprocessingml/2006/main" xmlns:w14="http://schemas.microsoft.com/office/word/2009/2/wordml" xmlns:wpg="http://schemas.microsoft.com/office/word/2008/6/28/wordprocessingGroup" xmlns:wpi="http://schemas.microsoft.com/office/word/2008/6/28/wordprocessingInk" xmlns:wne="http://schemas.microsoft.com/office/word/2006/wordml" xmlns:wps="http://schemas.microsoft.com/office/word/2008/6/28/wordprocessingShape">
  <w:endnote w:type="separator" w:id="0">
    <w:p>
      <w:pPr>
        <w:jc w:val="left"/>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0"/>
        </w:rPr>
        <w:separator/>
      </w:r>
    </w:p>
  </w:endnote>
  <w:endnote w:type="continuationSeparator" w:id="1">
    <w:p>
      <w:pPr>
        <w:jc w:val="left"/>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0"/>
        </w:rPr>
        <w:separator/>
      </w:r>
    </w:p>
  </w:endnote>
</w:endnotes>
</file>

<file path=word/fontTable.xml><?xml version="1.0" encoding="utf-8"?>
<w:fonts xmlns:w="http://schemas.openxmlformats.org/wordprocessingml/2006/main">
  <w:font w:name="Times New Roman">
    <w:altName w:val="Times New Roman"/>
    <w:panose1 w:val="02020603050405020304"/>
    <w:family w:val="roman"/>
    <w:charset w:val="CC"/>
    <w:pitch w:val="variable"/>
  </w:font>
  <w:font w:name="Arial">
    <w:altName w:val="Arial"/>
    <w:panose1 w:val="020b0604020202020204"/>
    <w:family w:val="swiss"/>
    <w:charset w:val="CC"/>
    <w:pitch w:val="variable"/>
  </w:font>
  <w:font w:name="Cambria Math">
    <w:altName w:val="Palatino Linotype"/>
    <w:panose1 w:val="02040503050406030204"/>
    <w:family w:val="roman"/>
    <w:charset w:val="CC"/>
    <w:pitch w:val="variable"/>
  </w:font>
  <w:font w:name="Calibri">
    <w:altName w:val="Arial"/>
    <w:panose1 w:val="020f0502020204030204"/>
    <w:family w:val="swiss"/>
    <w:charset w:val="CC"/>
    <w:pitch w:val="variable"/>
  </w:font>
  <w:font w:name="Tahoma">
    <w:altName w:val="Times New Roman"/>
    <w:panose1 w:val="020b0604030504040204"/>
    <w:family w:val="swiss"/>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Cambria">
    <w:panose1 w:val="02040503050406030204"/>
    <w:family w:val="roman"/>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Calibri">
    <w:altName w:val="Arial"/>
    <w:panose1 w:val="020f0502020204030204"/>
    <w:family w:val="swiss"/>
    <w:charset w:val="CC"/>
    <w:pitch w:val="variable"/>
  </w:font>
  <w:font w:name="Times New Roman">
    <w:altName w:val="Times New Roman"/>
    <w:panose1 w:val="02020603050405020304"/>
    <w:family w:val="roman"/>
    <w:charset w:val="CC"/>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Arial">
    <w:altName w:val="Arial"/>
    <w:family w:val="swiss"/>
    <w:charset w:val="00"/>
    <w:pitch w:val="variable"/>
  </w:font>
  <w:font w:name="Arial CE">
    <w:altName w:val="Arial"/>
    <w:family w:val="swiss"/>
    <w:charset w:val="EE"/>
    <w:pitch w:val="variable"/>
  </w:font>
  <w:font w:name="Arial Greek">
    <w:altName w:val="Arial"/>
    <w:family w:val="swiss"/>
    <w:charset w:val="A1"/>
    <w:pitch w:val="variable"/>
  </w:font>
  <w:font w:name="Arial Tur">
    <w:altName w:val="Arial"/>
    <w:family w:val="swiss"/>
    <w:charset w:val="A2"/>
    <w:pitch w:val="variable"/>
  </w:font>
  <w:font w:name="Arial (Hebrew)">
    <w:altName w:val="Arial"/>
    <w:family w:val="swiss"/>
    <w:charset w:val="B1"/>
    <w:pitch w:val="variable"/>
  </w:font>
  <w:font w:name="Arial (Arabic)">
    <w:altName w:val="Arial"/>
    <w:family w:val="swiss"/>
    <w:charset w:val="B2"/>
    <w:pitch w:val="variable"/>
  </w:font>
  <w:font w:name="Arial Baltic">
    <w:altName w:val="Arial"/>
    <w:family w:val="swiss"/>
    <w:charset w:val="BA"/>
    <w:pitch w:val="variable"/>
  </w:font>
  <w:font w:name="Arial (Vietnamese)">
    <w:altName w:val="Arial"/>
    <w:family w:val="swiss"/>
    <w:charset w:val="A3"/>
    <w:pitch w:val="variable"/>
  </w:font>
  <w:font w:name="Cambria Math">
    <w:altName w:val="Palatino Linotype"/>
    <w:family w:val="roman"/>
    <w:charset w:val="00"/>
    <w:pitch w:val="variable"/>
  </w:font>
  <w:font w:name="Cambria Math CE">
    <w:altName w:val="Palatino Linotype"/>
    <w:family w:val="roman"/>
    <w:charset w:val="EE"/>
    <w:pitch w:val="variable"/>
  </w:font>
  <w:font w:name="Cambria Math Greek">
    <w:altName w:val="Palatino Linotype"/>
    <w:family w:val="roman"/>
    <w:charset w:val="A1"/>
    <w:pitch w:val="variable"/>
  </w:font>
  <w:font w:name="Cambria Math Tur">
    <w:altName w:val="Palatino Linotype"/>
    <w:family w:val="roman"/>
    <w:charset w:val="A2"/>
    <w:pitch w:val="variable"/>
  </w:font>
  <w:font w:name="Cambria Math Baltic">
    <w:altName w:val="Palatino Linotype"/>
    <w:family w:val="roman"/>
    <w:charset w:val="BA"/>
    <w:pitch w:val="variable"/>
  </w:font>
  <w:font w:name="Cambria Math (Vietnamese)">
    <w:altName w:val="Palatino Linotype"/>
    <w:family w:val="roman"/>
    <w:charset w:val="A3"/>
    <w:pitch w:val="variable"/>
  </w:font>
  <w:font w:name="Calibri">
    <w:altName w:val="Arial"/>
    <w:family w:val="swiss"/>
    <w:charset w:val="00"/>
    <w:pitch w:val="variable"/>
  </w:font>
  <w:font w:name="Calibri CE">
    <w:altName w:val="Arial"/>
    <w:family w:val="swiss"/>
    <w:charset w:val="EE"/>
    <w:pitch w:val="variable"/>
  </w:font>
  <w:font w:name="Calibri Greek">
    <w:altName w:val="Arial"/>
    <w:family w:val="swiss"/>
    <w:charset w:val="A1"/>
    <w:pitch w:val="variable"/>
  </w:font>
  <w:font w:name="Calibri Tur">
    <w:altName w:val="Arial"/>
    <w:family w:val="swiss"/>
    <w:charset w:val="A2"/>
    <w:pitch w:val="variable"/>
  </w:font>
  <w:font w:name="Calibri (Hebrew)">
    <w:altName w:val="Arial"/>
    <w:family w:val="swiss"/>
    <w:charset w:val="B1"/>
    <w:pitch w:val="variable"/>
  </w:font>
  <w:font w:name="Calibri (Arabic)">
    <w:altName w:val="Arial"/>
    <w:family w:val="swiss"/>
    <w:charset w:val="B2"/>
    <w:pitch w:val="variable"/>
  </w:font>
  <w:font w:name="Calibri Baltic">
    <w:altName w:val="Arial"/>
    <w:family w:val="swiss"/>
    <w:charset w:val="BA"/>
    <w:pitch w:val="variable"/>
  </w:font>
  <w:font w:name="Calibri (Vietnamese)">
    <w:altName w:val="Arial"/>
    <w:family w:val="swiss"/>
    <w:charset w:val="A3"/>
    <w:pitch w:val="variable"/>
  </w:font>
  <w:font w:name="Tahoma">
    <w:altName w:val="Times New Roman"/>
    <w:family w:val="swiss"/>
    <w:charset w:val="00"/>
    <w:pitch w:val="variable"/>
  </w:font>
  <w:font w:name="Tahoma CE">
    <w:altName w:val="Times New Roman"/>
    <w:family w:val="swiss"/>
    <w:charset w:val="EE"/>
    <w:pitch w:val="variable"/>
  </w:font>
  <w:font w:name="Tahoma Greek">
    <w:altName w:val="Times New Roman"/>
    <w:family w:val="swiss"/>
    <w:charset w:val="A1"/>
    <w:pitch w:val="variable"/>
  </w:font>
  <w:font w:name="Tahoma Tur">
    <w:altName w:val="Times New Roman"/>
    <w:family w:val="swiss"/>
    <w:charset w:val="A2"/>
    <w:pitch w:val="variable"/>
  </w:font>
  <w:font w:name="Tahoma (Hebrew)">
    <w:altName w:val="Times New Roman"/>
    <w:family w:val="swiss"/>
    <w:charset w:val="B1"/>
    <w:pitch w:val="variable"/>
  </w:font>
  <w:font w:name="Tahoma (Arabic)">
    <w:altName w:val="Times New Roman"/>
    <w:family w:val="swiss"/>
    <w:charset w:val="B2"/>
    <w:pitch w:val="variable"/>
  </w:font>
  <w:font w:name="Tahoma Baltic">
    <w:altName w:val="Times New Roman"/>
    <w:family w:val="swiss"/>
    <w:charset w:val="BA"/>
    <w:pitch w:val="variable"/>
  </w:font>
  <w:font w:name="Tahoma (Vietnamese)">
    <w:altName w:val="Times New Roman"/>
    <w:family w:val="swiss"/>
    <w:charset w:val="A3"/>
    <w:pitch w:val="variable"/>
  </w:font>
  <w:font w:name="Tahoma (Thai)">
    <w:altName w:val="Times New Roman"/>
    <w:family w:val="swiss"/>
    <w:charset w:val="DE"/>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Cambria">
    <w:family w:val="roman"/>
    <w:charset w:val="00"/>
    <w:pitch w:val="variable"/>
  </w:font>
  <w:font w:name="Cambria CE">
    <w:family w:val="roman"/>
    <w:charset w:val="EE"/>
    <w:pitch w:val="variable"/>
  </w:font>
  <w:font w:name="Cambria Greek">
    <w:family w:val="roman"/>
    <w:charset w:val="A1"/>
    <w:pitch w:val="variable"/>
  </w:font>
  <w:font w:name="Cambria Tur">
    <w:family w:val="roman"/>
    <w:charset w:val="A2"/>
    <w:pitch w:val="variable"/>
  </w:font>
  <w:font w:name="Cambria Baltic">
    <w:family w:val="roman"/>
    <w:charset w:val="BA"/>
    <w:pitch w:val="variable"/>
  </w:font>
  <w:font w:name="Cambria (Vietnamese)">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Calibri">
    <w:altName w:val="Arial"/>
    <w:family w:val="swiss"/>
    <w:charset w:val="00"/>
    <w:pitch w:val="variable"/>
  </w:font>
  <w:font w:name="Calibri CE">
    <w:altName w:val="Arial"/>
    <w:family w:val="swiss"/>
    <w:charset w:val="EE"/>
    <w:pitch w:val="variable"/>
  </w:font>
  <w:font w:name="Calibri Greek">
    <w:altName w:val="Arial"/>
    <w:family w:val="swiss"/>
    <w:charset w:val="A1"/>
    <w:pitch w:val="variable"/>
  </w:font>
  <w:font w:name="Calibri Tur">
    <w:altName w:val="Arial"/>
    <w:family w:val="swiss"/>
    <w:charset w:val="A2"/>
    <w:pitch w:val="variable"/>
  </w:font>
  <w:font w:name="Calibri (Hebrew)">
    <w:altName w:val="Arial"/>
    <w:family w:val="swiss"/>
    <w:charset w:val="B1"/>
    <w:pitch w:val="variable"/>
  </w:font>
  <w:font w:name="Calibri (Arabic)">
    <w:altName w:val="Arial"/>
    <w:family w:val="swiss"/>
    <w:charset w:val="B2"/>
    <w:pitch w:val="variable"/>
  </w:font>
  <w:font w:name="Calibri Baltic">
    <w:altName w:val="Arial"/>
    <w:family w:val="swiss"/>
    <w:charset w:val="BA"/>
    <w:pitch w:val="variable"/>
  </w:font>
  <w:font w:name="Calibri (Vietnamese)">
    <w:altName w:val="Arial"/>
    <w:family w:val="swiss"/>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s>
</file>

<file path=word/footnotes.xml><?xml version="1.0" encoding="utf-8"?>
<w:footnotes xmlns:wpc="http://schemas.microsoft.com/office/word/2008/6/28/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08/9/16/wordprocessingDrawing" xmlns:wp="http://schemas.openxmlformats.org/drawingml/2006/wordprocessingDrawing" xmlns:w10="urn:schemas-microsoft-com:office:word" xmlns:w="http://schemas.openxmlformats.org/wordprocessingml/2006/main" xmlns:w14="http://schemas.microsoft.com/office/word/2009/2/wordml" xmlns:wpg="http://schemas.microsoft.com/office/word/2008/6/28/wordprocessingGroup" xmlns:wpi="http://schemas.microsoft.com/office/word/2008/6/28/wordprocessingInk" xmlns:wne="http://schemas.microsoft.com/office/word/2006/wordml" xmlns:wps="http://schemas.microsoft.com/office/word/2008/6/28/wordprocessingShape">
  <w:footnote w:type="separator" w:id="0">
    <w:p>
      <w:pPr>
        <w:jc w:val="left"/>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0"/>
        </w:rPr>
        <w:separator/>
      </w:r>
    </w:p>
  </w:footnote>
  <w:footnote w:type="continuationSeparator" w:id="1">
    <w:p>
      <w:pPr>
        <w:jc w:val="left"/>
        <w:textAlignment w:val="auto"/>
        <w:ind w:left="0" w:right="0" w:start="0" w:end="0"/>
        <w:spacing w:after="0" w:line="240"/>
        <w:bidi w:val="false"/>
        <w:rPr>
          <w:rFonts w:ascii="Times New Roman" w:eastAsia="Times New Roman" w:hAnsi="Times New Roman" w:cs="Times New Roman"/>
          <w:sz w:val="20"/>
        </w:rPr>
      </w:pPr>
      <w:r>
        <w:rPr>
          <w:rFonts w:ascii="Times New Roman" w:eastAsia="Times New Roman" w:hAnsi="Times New Roman" w:cs="Times New Roman"/>
          <w:sz w:val="20"/>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textAlignment w:val="auto"/>
      <w:ind w:left="0" w:right="0" w:start="0" w:end="0"/>
      <w:spacing w:after="0" w:line="240"/>
      <w:bidi w:val="false"/>
      <w:tabs>
        <w:tab w:val="center" w:pos="4677"/>
        <w:tab w:val="right" w:pos="9355"/>
      </w:tabs>
      <w:rPr>
        <w:rFonts w:ascii="Times New Roman" w:eastAsia="Times New Roman" w:hAnsi="Times New Roman" w:cs="Times New Roman"/>
        <w:sz w:val="20"/>
      </w:rPr>
    </w:pPr>
    <w:fldSimple w:instr="PAGE   \* MERGEFORMAT">
      <w:r>
        <w:rPr>
          <w:rFonts w:ascii="Times New Roman" w:eastAsia="Times New Roman" w:hAnsi="Times New Roman" w:cs="Times New Roman"/>
          <w:sz w:val="20"/>
        </w:rPr>
        <w:t xml:space="preserve">35</w:t>
      </w:r>
    </w:fldSimple>
  </w:p>
</w:hdr>
</file>

<file path=word/numbering.xml><?xml version="1.0" encoding="utf-8"?>
<w:numbering xmlns:w="http://schemas.openxmlformats.org/wordprocessingml/2006/main" xmlns:r="http://schemas.openxmlformats.org/officeDocument/2006/relationships" xmlns:v="urn:schemas-microsoft-com:vml" xmlns:o="urn:schemas-microsoft-com:office:office" xmlns:wp="http://schemas.openxmlformats.org/drawingml/2006/wordprocessingDrawing" xmlns:m="http://schemas.openxmlformats.org/officeDocument/2006/math" xmlns:w10="urn:schemas-microsoft-com:office:word">
  <w:abstractNum w:abstractNumId="5250863">
    <w:multiLevelType w:val="hybridMultilevel"/>
    <w:tmpl w:val="ffffffff"/>
    <w:lvl w:ilvl="0">
      <w:lvlJc w:val="left"/>
      <w:lvlText w:val="%1."/>
      <w:numFmt w:val="decimal"/>
      <w:start w:val="1"/>
      <w:suff w:val="tab"/>
      <w:pPr>
        <w:ind w:hanging="36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80375488">
    <w:multiLevelType w:val="hybridMultilevel"/>
    <w:tmpl w:val="ffffffff"/>
    <w:lvl w:ilvl="0">
      <w:lvlJc w:val="left"/>
      <w:lvlText w:val="%1."/>
      <w:numFmt w:val="decimal"/>
      <w:start w:val="1"/>
      <w:suff w:val="tab"/>
      <w:pPr>
        <w:ind w:hanging="720" w:left="862" w:start="862"/>
      </w:pPr>
      <w:rPr>
        <w:rFonts w:ascii="Times New Roman" w:eastAsia="Times New Roman" w:hAnsi="Times New Roman" w:cs="Times New Roman"/>
        <w:sz w:val="24"/>
      </w:rPr>
    </w:lvl>
    <w:lvl w:ilvl="1" w:tentative="1">
      <w:lvlJc w:val="left"/>
      <w:lvlText w:val="%2."/>
      <w:numFmt w:val="lowerLetter"/>
      <w:start w:val="1"/>
      <w:suff w:val="tab"/>
      <w:pPr>
        <w:ind w:hanging="360" w:left="1582" w:start="1582"/>
      </w:pPr>
      <w:rPr>
        <w:rFonts w:ascii="Times New Roman" w:eastAsia="Times New Roman" w:hAnsi="Times New Roman" w:cs="Times New Roman"/>
        <w:sz w:val="24"/>
      </w:rPr>
    </w:lvl>
    <w:lvl w:ilvl="2" w:tentative="1">
      <w:lvlJc w:val="right"/>
      <w:lvlText w:val="%3."/>
      <w:numFmt w:val="lowerRoman"/>
      <w:start w:val="1"/>
      <w:suff w:val="tab"/>
      <w:pPr>
        <w:ind w:hanging="180" w:left="2302" w:start="2302"/>
      </w:pPr>
      <w:rPr>
        <w:rFonts w:ascii="Times New Roman" w:eastAsia="Times New Roman" w:hAnsi="Times New Roman" w:cs="Times New Roman"/>
        <w:sz w:val="24"/>
      </w:rPr>
    </w:lvl>
    <w:lvl w:ilvl="3" w:tentative="1">
      <w:lvlJc w:val="left"/>
      <w:lvlText w:val="%4."/>
      <w:numFmt w:val="decimal"/>
      <w:start w:val="1"/>
      <w:suff w:val="tab"/>
      <w:pPr>
        <w:ind w:hanging="360" w:left="3022" w:start="3022"/>
      </w:pPr>
      <w:rPr>
        <w:rFonts w:ascii="Times New Roman" w:eastAsia="Times New Roman" w:hAnsi="Times New Roman" w:cs="Times New Roman"/>
        <w:sz w:val="24"/>
      </w:rPr>
    </w:lvl>
    <w:lvl w:ilvl="4" w:tentative="1">
      <w:lvlJc w:val="left"/>
      <w:lvlText w:val="%5."/>
      <w:numFmt w:val="lowerLetter"/>
      <w:start w:val="1"/>
      <w:suff w:val="tab"/>
      <w:pPr>
        <w:ind w:hanging="360" w:left="3742" w:start="3742"/>
      </w:pPr>
      <w:rPr>
        <w:rFonts w:ascii="Times New Roman" w:eastAsia="Times New Roman" w:hAnsi="Times New Roman" w:cs="Times New Roman"/>
        <w:sz w:val="24"/>
      </w:rPr>
    </w:lvl>
    <w:lvl w:ilvl="5" w:tentative="1">
      <w:lvlJc w:val="right"/>
      <w:lvlText w:val="%6."/>
      <w:numFmt w:val="lowerRoman"/>
      <w:start w:val="1"/>
      <w:suff w:val="tab"/>
      <w:pPr>
        <w:ind w:hanging="180" w:left="4462" w:start="4462"/>
      </w:pPr>
      <w:rPr>
        <w:rFonts w:ascii="Times New Roman" w:eastAsia="Times New Roman" w:hAnsi="Times New Roman" w:cs="Times New Roman"/>
        <w:sz w:val="24"/>
      </w:rPr>
    </w:lvl>
    <w:lvl w:ilvl="6" w:tentative="1">
      <w:lvlJc w:val="left"/>
      <w:lvlText w:val="%7."/>
      <w:numFmt w:val="decimal"/>
      <w:start w:val="1"/>
      <w:suff w:val="tab"/>
      <w:pPr>
        <w:ind w:hanging="360" w:left="5182" w:start="5182"/>
      </w:pPr>
      <w:rPr>
        <w:rFonts w:ascii="Times New Roman" w:eastAsia="Times New Roman" w:hAnsi="Times New Roman" w:cs="Times New Roman"/>
        <w:sz w:val="24"/>
      </w:rPr>
    </w:lvl>
    <w:lvl w:ilvl="7" w:tentative="1">
      <w:lvlJc w:val="left"/>
      <w:lvlText w:val="%8."/>
      <w:numFmt w:val="lowerLetter"/>
      <w:start w:val="1"/>
      <w:suff w:val="tab"/>
      <w:pPr>
        <w:ind w:hanging="360" w:left="5902" w:start="5902"/>
      </w:pPr>
      <w:rPr>
        <w:rFonts w:ascii="Times New Roman" w:eastAsia="Times New Roman" w:hAnsi="Times New Roman" w:cs="Times New Roman"/>
        <w:sz w:val="24"/>
      </w:rPr>
    </w:lvl>
    <w:lvl w:ilvl="8" w:tentative="1">
      <w:lvlJc w:val="right"/>
      <w:lvlText w:val="%9."/>
      <w:numFmt w:val="lowerRoman"/>
      <w:start w:val="1"/>
      <w:suff w:val="tab"/>
      <w:pPr>
        <w:ind w:hanging="180" w:left="6622" w:start="6622"/>
      </w:pPr>
      <w:rPr>
        <w:rFonts w:ascii="Times New Roman" w:eastAsia="Times New Roman" w:hAnsi="Times New Roman" w:cs="Times New Roman"/>
        <w:sz w:val="24"/>
      </w:rPr>
    </w:lvl>
  </w:abstractNum>
  <w:abstractNum w:abstractNumId="143201557">
    <w:multiLevelType w:val="hybridMultilevel"/>
    <w:tmpl w:val="ffffffff"/>
    <w:lvl w:ilvl="0">
      <w:lvlJc w:val="left"/>
      <w:lvlText w:val="%1."/>
      <w:numFmt w:val="decimal"/>
      <w:start w:val="7"/>
      <w:suff w:val="tab"/>
      <w:pPr>
        <w:ind w:hanging="36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359162627">
    <w:multiLevelType w:val="hybridMultilevel"/>
    <w:tmpl w:val="ffffffff"/>
    <w:lvl w:ilvl="0">
      <w:lvlJc w:val="left"/>
      <w:lvlText w:val="%1."/>
      <w:numFmt w:val="decimal"/>
      <w:start w:val="1"/>
      <w:suff w:val="tab"/>
      <w:pPr>
        <w:ind w:hanging="72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417216465">
    <w:multiLevelType w:val="hybridMultilevel"/>
    <w:tmpl w:val="ffffffff"/>
    <w:lvl w:ilvl="0">
      <w:lvlJc w:val="left"/>
      <w:lvlText w:val="%1."/>
      <w:numFmt w:val="decimal"/>
      <w:start w:val="1"/>
      <w:suff w:val="tab"/>
      <w:pPr>
        <w:ind w:hanging="72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734623012">
    <w:multiLevelType w:val="multilevel"/>
    <w:tmpl w:val="ffffffff"/>
    <w:lvl w:ilvl="0">
      <w:lvlJc w:val="left"/>
      <w:lvlText w:val="%1."/>
      <w:numFmt w:val="decimal"/>
      <w:start w:val="1"/>
      <w:suff w:val="tab"/>
      <w:pPr>
        <w:ind w:firstLine="984"/>
      </w:pPr>
      <w:rPr>
        <w:rFonts w:ascii="Times New Roman" w:eastAsia="Times New Roman" w:hAnsi="Times New Roman" w:cs="Times New Roman"/>
        <w:sz w:val="24"/>
      </w:rPr>
    </w:lvl>
    <w:lvl w:ilvl="1">
      <w:lvlJc w:val="left"/>
      <w:lvlText w:val="%2."/>
      <w:numFmt w:val="lowerLetter"/>
      <w:start w:val="1"/>
      <w:suff w:val="tab"/>
      <w:pPr>
        <w:ind w:hanging="360" w:left="1440" w:start="1440"/>
      </w:pPr>
      <w:rPr>
        <w:rFonts w:ascii="Times New Roman" w:eastAsia="Times New Roman" w:hAnsi="Times New Roman" w:cs="Times New Roman"/>
        <w:sz w:val="24"/>
      </w:rPr>
    </w:lvl>
    <w:lvl w:ilvl="2">
      <w:lvlJc w:val="right"/>
      <w:lvlText w:val="%3."/>
      <w:numFmt w:val="lowerRoman"/>
      <w:start w:val="1"/>
      <w:suff w:val="tab"/>
      <w:pPr>
        <w:ind w:hanging="180" w:left="2160" w:start="2160"/>
      </w:pPr>
      <w:rPr>
        <w:rFonts w:ascii="Times New Roman" w:eastAsia="Times New Roman" w:hAnsi="Times New Roman" w:cs="Times New Roman"/>
        <w:sz w:val="24"/>
      </w:rPr>
    </w:lvl>
    <w:lvl w:ilvl="3">
      <w:lvlJc w:val="left"/>
      <w:lvlText w:val="%4."/>
      <w:numFmt w:val="decimal"/>
      <w:start w:val="1"/>
      <w:suff w:val="tab"/>
      <w:pPr>
        <w:ind w:hanging="360" w:left="2880" w:start="2880"/>
      </w:pPr>
      <w:rPr>
        <w:rFonts w:ascii="Times New Roman" w:eastAsia="Times New Roman" w:hAnsi="Times New Roman" w:cs="Times New Roman"/>
        <w:sz w:val="24"/>
      </w:rPr>
    </w:lvl>
    <w:lvl w:ilvl="4">
      <w:lvlJc w:val="left"/>
      <w:lvlText w:val="%5."/>
      <w:numFmt w:val="lowerLetter"/>
      <w:start w:val="1"/>
      <w:suff w:val="tab"/>
      <w:pPr>
        <w:ind w:hanging="360" w:left="3600" w:start="3600"/>
      </w:pPr>
      <w:rPr>
        <w:rFonts w:ascii="Times New Roman" w:eastAsia="Times New Roman" w:hAnsi="Times New Roman" w:cs="Times New Roman"/>
        <w:sz w:val="24"/>
      </w:rPr>
    </w:lvl>
    <w:lvl w:ilvl="5">
      <w:lvlJc w:val="right"/>
      <w:lvlText w:val="%6."/>
      <w:numFmt w:val="lowerRoman"/>
      <w:start w:val="1"/>
      <w:suff w:val="tab"/>
      <w:pPr>
        <w:ind w:hanging="180" w:left="4320" w:start="4320"/>
      </w:pPr>
      <w:rPr>
        <w:rFonts w:ascii="Times New Roman" w:eastAsia="Times New Roman" w:hAnsi="Times New Roman" w:cs="Times New Roman"/>
        <w:sz w:val="24"/>
      </w:rPr>
    </w:lvl>
    <w:lvl w:ilvl="6">
      <w:lvlJc w:val="left"/>
      <w:lvlText w:val="%7."/>
      <w:numFmt w:val="decimal"/>
      <w:start w:val="1"/>
      <w:suff w:val="tab"/>
      <w:pPr>
        <w:ind w:hanging="360" w:left="5040" w:start="5040"/>
      </w:pPr>
      <w:rPr>
        <w:rFonts w:ascii="Times New Roman" w:eastAsia="Times New Roman" w:hAnsi="Times New Roman" w:cs="Times New Roman"/>
        <w:sz w:val="24"/>
      </w:rPr>
    </w:lvl>
    <w:lvl w:ilvl="7">
      <w:lvlJc w:val="left"/>
      <w:lvlText w:val="%8."/>
      <w:numFmt w:val="lowerLetter"/>
      <w:start w:val="1"/>
      <w:suff w:val="tab"/>
      <w:pPr>
        <w:ind w:hanging="360" w:left="5760" w:start="5760"/>
      </w:pPr>
      <w:rPr>
        <w:rFonts w:ascii="Times New Roman" w:eastAsia="Times New Roman" w:hAnsi="Times New Roman" w:cs="Times New Roman"/>
        <w:sz w:val="24"/>
      </w:rPr>
    </w:lvl>
    <w:lvl w:ilvl="8">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929850289">
    <w:multiLevelType w:val="hybridMultilevel"/>
    <w:tmpl w:val="ffffffff"/>
    <w:lvl w:ilvl="0">
      <w:lvlJc w:val="left"/>
      <w:lvlText w:val="%1."/>
      <w:numFmt w:val="decimal"/>
      <w:start w:val="1"/>
      <w:suff w:val="tab"/>
      <w:pPr>
        <w:ind w:hanging="72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975455421">
    <w:multiLevelType w:val="hybridMultilevel"/>
    <w:tmpl w:val="ffffffff"/>
    <w:lvl w:ilvl="0">
      <w:lvlJc w:val="left"/>
      <w:lvlText w:val="%1."/>
      <w:numFmt w:val="decimal"/>
      <w:start w:val="1"/>
      <w:suff w:val="tab"/>
      <w:pPr>
        <w:ind w:firstLine="984"/>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1056199502">
    <w:multiLevelType w:val="multilevel"/>
    <w:tmpl w:val="ffffffff"/>
    <w:lvl w:ilvl="0">
      <w:lvlJc w:val="left"/>
      <w:lvlText w:val="%1."/>
      <w:numFmt w:val="decimal"/>
      <w:start w:val="1"/>
      <w:suff w:val="tab"/>
      <w:pPr>
        <w:ind w:hanging="360" w:left="360" w:start="360"/>
      </w:pPr>
      <w:rPr>
        <w:rFonts w:ascii="Times New Roman" w:eastAsia="Times New Roman" w:hAnsi="Times New Roman" w:cs="Times New Roman"/>
        <w:sz w:val="24"/>
      </w:rPr>
    </w:lvl>
    <w:lvl w:ilvl="1">
      <w:lvlJc w:val="left"/>
      <w:lvlText w:val="%1.%2."/>
      <w:numFmt w:val="decimal"/>
      <w:start w:val="1"/>
      <w:suff w:val="tab"/>
      <w:pPr>
        <w:ind w:hanging="720" w:left="720" w:start="720"/>
      </w:pPr>
      <w:rPr>
        <w:rFonts w:ascii="Times New Roman" w:eastAsia="Times New Roman" w:hAnsi="Times New Roman" w:cs="Times New Roman"/>
        <w:sz w:val="24"/>
      </w:rPr>
    </w:lvl>
    <w:lvl w:ilvl="2">
      <w:lvlJc w:val="left"/>
      <w:lvlText w:val="%1.%2.%3."/>
      <w:numFmt w:val="decimal"/>
      <w:start w:val="1"/>
      <w:suff w:val="tab"/>
      <w:pPr>
        <w:ind w:hanging="720" w:left="720" w:start="720"/>
      </w:pPr>
      <w:rPr>
        <w:rFonts w:ascii="Times New Roman" w:eastAsia="Times New Roman" w:hAnsi="Times New Roman" w:cs="Times New Roman"/>
        <w:sz w:val="24"/>
      </w:rPr>
    </w:lvl>
    <w:lvl w:ilvl="3">
      <w:lvlJc w:val="left"/>
      <w:lvlText w:val="%1.%2.%3.%4."/>
      <w:numFmt w:val="decimal"/>
      <w:start w:val="1"/>
      <w:suff w:val="tab"/>
      <w:pPr>
        <w:ind w:hanging="1080" w:left="1080" w:start="1080"/>
      </w:pPr>
      <w:rPr>
        <w:rFonts w:ascii="Times New Roman" w:eastAsia="Times New Roman" w:hAnsi="Times New Roman" w:cs="Times New Roman"/>
        <w:sz w:val="24"/>
      </w:rPr>
    </w:lvl>
    <w:lvl w:ilvl="4">
      <w:lvlJc w:val="left"/>
      <w:lvlText w:val="%1.%2.%3.%4.%5."/>
      <w:numFmt w:val="decimal"/>
      <w:start w:val="1"/>
      <w:suff w:val="tab"/>
      <w:pPr>
        <w:ind w:hanging="1080" w:left="1080" w:start="1080"/>
      </w:pPr>
      <w:rPr>
        <w:rFonts w:ascii="Times New Roman" w:eastAsia="Times New Roman" w:hAnsi="Times New Roman" w:cs="Times New Roman"/>
        <w:sz w:val="24"/>
      </w:rPr>
    </w:lvl>
    <w:lvl w:ilvl="5">
      <w:lvlJc w:val="left"/>
      <w:lvlText w:val="%1.%2.%3.%4.%5.%6."/>
      <w:numFmt w:val="decimal"/>
      <w:start w:val="1"/>
      <w:suff w:val="tab"/>
      <w:pPr>
        <w:ind w:hanging="1440" w:left="1440" w:start="1440"/>
      </w:pPr>
      <w:rPr>
        <w:rFonts w:ascii="Times New Roman" w:eastAsia="Times New Roman" w:hAnsi="Times New Roman" w:cs="Times New Roman"/>
        <w:sz w:val="24"/>
      </w:rPr>
    </w:lvl>
    <w:lvl w:ilvl="6">
      <w:lvlJc w:val="left"/>
      <w:lvlText w:val="%1.%2.%3.%4.%5.%6.%7."/>
      <w:numFmt w:val="decimal"/>
      <w:start w:val="1"/>
      <w:suff w:val="tab"/>
      <w:pPr>
        <w:ind w:hanging="1800" w:left="1800" w:start="1800"/>
      </w:pPr>
      <w:rPr>
        <w:rFonts w:ascii="Times New Roman" w:eastAsia="Times New Roman" w:hAnsi="Times New Roman" w:cs="Times New Roman"/>
        <w:sz w:val="24"/>
      </w:rPr>
    </w:lvl>
    <w:lvl w:ilvl="7">
      <w:lvlJc w:val="left"/>
      <w:lvlText w:val="%1.%2.%3.%4.%5.%6.%7.%8."/>
      <w:numFmt w:val="decimal"/>
      <w:start w:val="1"/>
      <w:suff w:val="tab"/>
      <w:pPr>
        <w:ind w:hanging="1800" w:left="1800" w:start="1800"/>
      </w:pPr>
      <w:rPr>
        <w:rFonts w:ascii="Times New Roman" w:eastAsia="Times New Roman" w:hAnsi="Times New Roman" w:cs="Times New Roman"/>
        <w:sz w:val="24"/>
      </w:rPr>
    </w:lvl>
    <w:lvl w:ilvl="8">
      <w:lvlJc w:val="left"/>
      <w:lvlText w:val="%1.%2.%3.%4.%5.%6.%7.%8.%9."/>
      <w:numFmt w:val="decimal"/>
      <w:start w:val="1"/>
      <w:suff w:val="tab"/>
      <w:pPr>
        <w:ind w:hanging="2160" w:left="2160" w:start="2160"/>
      </w:pPr>
      <w:rPr>
        <w:rFonts w:ascii="Times New Roman" w:eastAsia="Times New Roman" w:hAnsi="Times New Roman" w:cs="Times New Roman"/>
        <w:sz w:val="24"/>
      </w:rPr>
    </w:lvl>
  </w:abstractNum>
  <w:abstractNum w:abstractNumId="1089815146">
    <w:multiLevelType w:val="multilevel"/>
    <w:tmpl w:val="ffffffff"/>
    <w:lvl w:ilvl="0">
      <w:lvlJc w:val="left"/>
      <w:lvlText w:val="%1."/>
      <w:numFmt w:val="decimal"/>
      <w:start w:val="1"/>
      <w:suff w:val="tab"/>
      <w:pPr>
        <w:ind w:hanging="720" w:left="720" w:start="720"/>
      </w:pPr>
      <w:rPr>
        <w:rFonts w:ascii="Times New Roman" w:eastAsia="Times New Roman" w:hAnsi="Times New Roman" w:cs="Times New Roman"/>
        <w:sz w:val="24"/>
      </w:rPr>
    </w:lvl>
    <w:lvl w:ilvl="1">
      <w:lvlJc w:val="left"/>
      <w:lvlText w:val="%2."/>
      <w:numFmt w:val="lowerLetter"/>
      <w:start w:val="1"/>
      <w:suff w:val="tab"/>
      <w:pPr>
        <w:ind w:hanging="360" w:left="1440" w:start="1440"/>
      </w:pPr>
      <w:rPr>
        <w:rFonts w:ascii="Times New Roman" w:eastAsia="Times New Roman" w:hAnsi="Times New Roman" w:cs="Times New Roman"/>
        <w:sz w:val="24"/>
      </w:rPr>
    </w:lvl>
    <w:lvl w:ilvl="2">
      <w:lvlJc w:val="right"/>
      <w:lvlText w:val="%3."/>
      <w:numFmt w:val="lowerRoman"/>
      <w:start w:val="1"/>
      <w:suff w:val="tab"/>
      <w:pPr>
        <w:ind w:hanging="180" w:left="2160" w:start="2160"/>
      </w:pPr>
      <w:rPr>
        <w:rFonts w:ascii="Times New Roman" w:eastAsia="Times New Roman" w:hAnsi="Times New Roman" w:cs="Times New Roman"/>
        <w:sz w:val="24"/>
      </w:rPr>
    </w:lvl>
    <w:lvl w:ilvl="3">
      <w:lvlJc w:val="left"/>
      <w:lvlText w:val="%4."/>
      <w:numFmt w:val="decimal"/>
      <w:start w:val="1"/>
      <w:suff w:val="tab"/>
      <w:pPr>
        <w:ind w:hanging="360" w:left="2880" w:start="2880"/>
      </w:pPr>
      <w:rPr>
        <w:rFonts w:ascii="Times New Roman" w:eastAsia="Times New Roman" w:hAnsi="Times New Roman" w:cs="Times New Roman"/>
        <w:sz w:val="24"/>
      </w:rPr>
    </w:lvl>
    <w:lvl w:ilvl="4">
      <w:lvlJc w:val="left"/>
      <w:lvlText w:val="%5."/>
      <w:numFmt w:val="lowerLetter"/>
      <w:start w:val="1"/>
      <w:suff w:val="tab"/>
      <w:pPr>
        <w:ind w:hanging="360" w:left="3600" w:start="3600"/>
      </w:pPr>
      <w:rPr>
        <w:rFonts w:ascii="Times New Roman" w:eastAsia="Times New Roman" w:hAnsi="Times New Roman" w:cs="Times New Roman"/>
        <w:sz w:val="24"/>
      </w:rPr>
    </w:lvl>
    <w:lvl w:ilvl="5">
      <w:lvlJc w:val="right"/>
      <w:lvlText w:val="%6."/>
      <w:numFmt w:val="lowerRoman"/>
      <w:start w:val="1"/>
      <w:suff w:val="tab"/>
      <w:pPr>
        <w:ind w:hanging="180" w:left="4320" w:start="4320"/>
      </w:pPr>
      <w:rPr>
        <w:rFonts w:ascii="Times New Roman" w:eastAsia="Times New Roman" w:hAnsi="Times New Roman" w:cs="Times New Roman"/>
        <w:sz w:val="24"/>
      </w:rPr>
    </w:lvl>
    <w:lvl w:ilvl="6">
      <w:lvlJc w:val="left"/>
      <w:lvlText w:val="%7."/>
      <w:numFmt w:val="decimal"/>
      <w:start w:val="1"/>
      <w:suff w:val="tab"/>
      <w:pPr>
        <w:ind w:hanging="360" w:left="5040" w:start="5040"/>
      </w:pPr>
      <w:rPr>
        <w:rFonts w:ascii="Times New Roman" w:eastAsia="Times New Roman" w:hAnsi="Times New Roman" w:cs="Times New Roman"/>
        <w:sz w:val="24"/>
      </w:rPr>
    </w:lvl>
    <w:lvl w:ilvl="7">
      <w:lvlJc w:val="left"/>
      <w:lvlText w:val="%8."/>
      <w:numFmt w:val="lowerLetter"/>
      <w:start w:val="1"/>
      <w:suff w:val="tab"/>
      <w:pPr>
        <w:ind w:hanging="360" w:left="5760" w:start="5760"/>
      </w:pPr>
      <w:rPr>
        <w:rFonts w:ascii="Times New Roman" w:eastAsia="Times New Roman" w:hAnsi="Times New Roman" w:cs="Times New Roman"/>
        <w:sz w:val="24"/>
      </w:rPr>
    </w:lvl>
    <w:lvl w:ilvl="8">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1227182713">
    <w:multiLevelType w:val="multilevel"/>
    <w:tmpl w:val="ffffffff"/>
    <w:lvl w:ilvl="0">
      <w:lvlJc w:val="left"/>
      <w:lvlText w:val="%1."/>
      <w:numFmt w:val="decimal"/>
      <w:start w:val="1"/>
      <w:suff w:val="tab"/>
      <w:pPr>
        <w:ind w:firstLine="984"/>
      </w:pPr>
      <w:rPr>
        <w:rFonts w:ascii="Times New Roman" w:eastAsia="Times New Roman" w:hAnsi="Times New Roman" w:cs="Times New Roman"/>
        <w:sz w:val="24"/>
      </w:rPr>
    </w:lvl>
    <w:lvl w:ilvl="1">
      <w:lvlJc w:val="left"/>
      <w:lvlText w:val="%2."/>
      <w:numFmt w:val="lowerLetter"/>
      <w:start w:val="1"/>
      <w:suff w:val="tab"/>
      <w:pPr>
        <w:ind w:hanging="360" w:left="1440" w:start="1440"/>
      </w:pPr>
      <w:rPr>
        <w:rFonts w:ascii="Times New Roman" w:eastAsia="Times New Roman" w:hAnsi="Times New Roman" w:cs="Times New Roman"/>
        <w:sz w:val="24"/>
      </w:rPr>
    </w:lvl>
    <w:lvl w:ilvl="2">
      <w:lvlJc w:val="right"/>
      <w:lvlText w:val="%3."/>
      <w:numFmt w:val="lowerRoman"/>
      <w:start w:val="1"/>
      <w:suff w:val="tab"/>
      <w:pPr>
        <w:ind w:hanging="180" w:left="2160" w:start="2160"/>
      </w:pPr>
      <w:rPr>
        <w:rFonts w:ascii="Times New Roman" w:eastAsia="Times New Roman" w:hAnsi="Times New Roman" w:cs="Times New Roman"/>
        <w:sz w:val="24"/>
      </w:rPr>
    </w:lvl>
    <w:lvl w:ilvl="3">
      <w:lvlJc w:val="left"/>
      <w:lvlText w:val="%4."/>
      <w:numFmt w:val="decimal"/>
      <w:start w:val="1"/>
      <w:suff w:val="tab"/>
      <w:pPr>
        <w:ind w:hanging="360" w:left="2880" w:start="2880"/>
      </w:pPr>
      <w:rPr>
        <w:rFonts w:ascii="Times New Roman" w:eastAsia="Times New Roman" w:hAnsi="Times New Roman" w:cs="Times New Roman"/>
        <w:sz w:val="24"/>
      </w:rPr>
    </w:lvl>
    <w:lvl w:ilvl="4">
      <w:lvlJc w:val="left"/>
      <w:lvlText w:val="%5."/>
      <w:numFmt w:val="lowerLetter"/>
      <w:start w:val="1"/>
      <w:suff w:val="tab"/>
      <w:pPr>
        <w:ind w:hanging="360" w:left="3600" w:start="3600"/>
      </w:pPr>
      <w:rPr>
        <w:rFonts w:ascii="Times New Roman" w:eastAsia="Times New Roman" w:hAnsi="Times New Roman" w:cs="Times New Roman"/>
        <w:sz w:val="24"/>
      </w:rPr>
    </w:lvl>
    <w:lvl w:ilvl="5">
      <w:lvlJc w:val="right"/>
      <w:lvlText w:val="%6."/>
      <w:numFmt w:val="lowerRoman"/>
      <w:start w:val="1"/>
      <w:suff w:val="tab"/>
      <w:pPr>
        <w:ind w:hanging="180" w:left="4320" w:start="4320"/>
      </w:pPr>
      <w:rPr>
        <w:rFonts w:ascii="Times New Roman" w:eastAsia="Times New Roman" w:hAnsi="Times New Roman" w:cs="Times New Roman"/>
        <w:sz w:val="24"/>
      </w:rPr>
    </w:lvl>
    <w:lvl w:ilvl="6">
      <w:lvlJc w:val="left"/>
      <w:lvlText w:val="%7."/>
      <w:numFmt w:val="decimal"/>
      <w:start w:val="1"/>
      <w:suff w:val="tab"/>
      <w:pPr>
        <w:ind w:hanging="360" w:left="5040" w:start="5040"/>
      </w:pPr>
      <w:rPr>
        <w:rFonts w:ascii="Times New Roman" w:eastAsia="Times New Roman" w:hAnsi="Times New Roman" w:cs="Times New Roman"/>
        <w:sz w:val="24"/>
      </w:rPr>
    </w:lvl>
    <w:lvl w:ilvl="7">
      <w:lvlJc w:val="left"/>
      <w:lvlText w:val="%8."/>
      <w:numFmt w:val="lowerLetter"/>
      <w:start w:val="1"/>
      <w:suff w:val="tab"/>
      <w:pPr>
        <w:ind w:hanging="360" w:left="5760" w:start="5760"/>
      </w:pPr>
      <w:rPr>
        <w:rFonts w:ascii="Times New Roman" w:eastAsia="Times New Roman" w:hAnsi="Times New Roman" w:cs="Times New Roman"/>
        <w:sz w:val="24"/>
      </w:rPr>
    </w:lvl>
    <w:lvl w:ilvl="8">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1298757636">
    <w:multiLevelType w:val="hybridMultilevel"/>
    <w:tmpl w:val="ffffffff"/>
    <w:lvl w:ilvl="0">
      <w:lvlJc w:val="left"/>
      <w:lvlText w:val="%1."/>
      <w:numFmt w:val="decimal"/>
      <w:start w:val="1"/>
      <w:suff w:val="tab"/>
      <w:pPr>
        <w:ind w:firstLine="984"/>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1514420033">
    <w:multiLevelType w:val="hybridMultilevel"/>
    <w:tmpl w:val="ffffffff"/>
    <w:lvl w:ilvl="0">
      <w:lvlJc w:val="left"/>
      <w:lvlText w:val="%1."/>
      <w:numFmt w:val="decimal"/>
      <w:start w:val="5"/>
      <w:suff w:val="tab"/>
      <w:pPr>
        <w:ind w:hanging="36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1650595477">
    <w:multiLevelType w:val="multilevel"/>
    <w:tmpl w:val="ffffffff"/>
    <w:lvl w:ilvl="0">
      <w:lvlJc w:val="left"/>
      <w:lvlText w:val="%1."/>
      <w:numFmt w:val="decimal"/>
      <w:start w:val="1"/>
      <w:suff w:val="tab"/>
      <w:pPr>
        <w:ind w:hanging="360" w:left="720" w:start="720"/>
      </w:pPr>
      <w:rPr>
        <w:rFonts w:ascii="Times New Roman" w:eastAsia="Times New Roman" w:hAnsi="Times New Roman" w:cs="Times New Roman"/>
        <w:sz w:val="24"/>
      </w:rPr>
    </w:lvl>
    <w:lvl w:ilvl="1">
      <w:lvlJc w:val="left"/>
      <w:lvlText w:val="%2."/>
      <w:numFmt w:val="lowerLetter"/>
      <w:start w:val="1"/>
      <w:suff w:val="tab"/>
      <w:pPr>
        <w:ind w:hanging="360" w:left="1440" w:start="1440"/>
      </w:pPr>
      <w:rPr>
        <w:rFonts w:ascii="Times New Roman" w:eastAsia="Times New Roman" w:hAnsi="Times New Roman" w:cs="Times New Roman"/>
        <w:sz w:val="24"/>
      </w:rPr>
    </w:lvl>
    <w:lvl w:ilvl="2">
      <w:lvlJc w:val="right"/>
      <w:lvlText w:val="%3."/>
      <w:numFmt w:val="lowerRoman"/>
      <w:start w:val="1"/>
      <w:suff w:val="tab"/>
      <w:pPr>
        <w:ind w:hanging="180" w:left="2160" w:start="2160"/>
      </w:pPr>
      <w:rPr>
        <w:rFonts w:ascii="Times New Roman" w:eastAsia="Times New Roman" w:hAnsi="Times New Roman" w:cs="Times New Roman"/>
        <w:sz w:val="24"/>
      </w:rPr>
    </w:lvl>
    <w:lvl w:ilvl="3">
      <w:lvlJc w:val="left"/>
      <w:lvlText w:val="%4."/>
      <w:numFmt w:val="decimal"/>
      <w:start w:val="1"/>
      <w:suff w:val="tab"/>
      <w:pPr>
        <w:ind w:hanging="360" w:left="2880" w:start="2880"/>
      </w:pPr>
      <w:rPr>
        <w:rFonts w:ascii="Times New Roman" w:eastAsia="Times New Roman" w:hAnsi="Times New Roman" w:cs="Times New Roman"/>
        <w:sz w:val="24"/>
      </w:rPr>
    </w:lvl>
    <w:lvl w:ilvl="4">
      <w:lvlJc w:val="left"/>
      <w:lvlText w:val="%5."/>
      <w:numFmt w:val="lowerLetter"/>
      <w:start w:val="1"/>
      <w:suff w:val="tab"/>
      <w:pPr>
        <w:ind w:hanging="360" w:left="3600" w:start="3600"/>
      </w:pPr>
      <w:rPr>
        <w:rFonts w:ascii="Times New Roman" w:eastAsia="Times New Roman" w:hAnsi="Times New Roman" w:cs="Times New Roman"/>
        <w:sz w:val="24"/>
      </w:rPr>
    </w:lvl>
    <w:lvl w:ilvl="5">
      <w:lvlJc w:val="right"/>
      <w:lvlText w:val="%6."/>
      <w:numFmt w:val="lowerRoman"/>
      <w:start w:val="1"/>
      <w:suff w:val="tab"/>
      <w:pPr>
        <w:ind w:hanging="180" w:left="4320" w:start="4320"/>
      </w:pPr>
      <w:rPr>
        <w:rFonts w:ascii="Times New Roman" w:eastAsia="Times New Roman" w:hAnsi="Times New Roman" w:cs="Times New Roman"/>
        <w:sz w:val="24"/>
      </w:rPr>
    </w:lvl>
    <w:lvl w:ilvl="6">
      <w:lvlJc w:val="left"/>
      <w:lvlText w:val="%7."/>
      <w:numFmt w:val="decimal"/>
      <w:start w:val="1"/>
      <w:suff w:val="tab"/>
      <w:pPr>
        <w:ind w:hanging="360" w:left="5040" w:start="5040"/>
      </w:pPr>
      <w:rPr>
        <w:rFonts w:ascii="Times New Roman" w:eastAsia="Times New Roman" w:hAnsi="Times New Roman" w:cs="Times New Roman"/>
        <w:sz w:val="24"/>
      </w:rPr>
    </w:lvl>
    <w:lvl w:ilvl="7">
      <w:lvlJc w:val="left"/>
      <w:lvlText w:val="%8."/>
      <w:numFmt w:val="lowerLetter"/>
      <w:start w:val="1"/>
      <w:suff w:val="tab"/>
      <w:pPr>
        <w:ind w:hanging="360" w:left="5760" w:start="5760"/>
      </w:pPr>
      <w:rPr>
        <w:rFonts w:ascii="Times New Roman" w:eastAsia="Times New Roman" w:hAnsi="Times New Roman" w:cs="Times New Roman"/>
        <w:sz w:val="24"/>
      </w:rPr>
    </w:lvl>
    <w:lvl w:ilvl="8">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1744178945">
    <w:multiLevelType w:val="hybridMultilevel"/>
    <w:tmpl w:val="ffffffff"/>
    <w:lvl w:ilvl="0">
      <w:lvlJc w:val="left"/>
      <w:lvlText w:val="%1."/>
      <w:numFmt w:val="decimal"/>
      <w:start w:val="1"/>
      <w:suff w:val="tab"/>
      <w:pPr>
        <w:ind w:hanging="72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2027519181">
    <w:multiLevelType w:val="hybridMultilevel"/>
    <w:tmpl w:val="ffffffff"/>
    <w:lvl w:ilvl="0">
      <w:lvlJc w:val="left"/>
      <w:lvlText w:val="%1."/>
      <w:numFmt w:val="decimal"/>
      <w:start w:val="1"/>
      <w:suff w:val="tab"/>
      <w:pPr>
        <w:ind w:hanging="360" w:left="218" w:start="218"/>
      </w:pPr>
      <w:rPr>
        <w:rFonts w:ascii="Times New Roman" w:eastAsia="Times New Roman" w:hAnsi="Times New Roman" w:cs="Times New Roman"/>
        <w:sz w:val="24"/>
      </w:rPr>
    </w:lvl>
    <w:lvl w:ilvl="1" w:tentative="1">
      <w:lvlJc w:val="left"/>
      <w:lvlText w:val="%2."/>
      <w:numFmt w:val="lowerLetter"/>
      <w:start w:val="1"/>
      <w:suff w:val="tab"/>
      <w:pPr>
        <w:ind w:hanging="360" w:left="938" w:start="938"/>
      </w:pPr>
      <w:rPr>
        <w:rFonts w:ascii="Times New Roman" w:eastAsia="Times New Roman" w:hAnsi="Times New Roman" w:cs="Times New Roman"/>
        <w:sz w:val="24"/>
      </w:rPr>
    </w:lvl>
    <w:lvl w:ilvl="2" w:tentative="1">
      <w:lvlJc w:val="right"/>
      <w:lvlText w:val="%3."/>
      <w:numFmt w:val="lowerRoman"/>
      <w:start w:val="1"/>
      <w:suff w:val="tab"/>
      <w:pPr>
        <w:ind w:hanging="180" w:left="1658" w:start="1658"/>
      </w:pPr>
      <w:rPr>
        <w:rFonts w:ascii="Times New Roman" w:eastAsia="Times New Roman" w:hAnsi="Times New Roman" w:cs="Times New Roman"/>
        <w:sz w:val="24"/>
      </w:rPr>
    </w:lvl>
    <w:lvl w:ilvl="3" w:tentative="1">
      <w:lvlJc w:val="left"/>
      <w:lvlText w:val="%4."/>
      <w:numFmt w:val="decimal"/>
      <w:start w:val="1"/>
      <w:suff w:val="tab"/>
      <w:pPr>
        <w:ind w:hanging="360" w:left="2378" w:start="2378"/>
      </w:pPr>
      <w:rPr>
        <w:rFonts w:ascii="Times New Roman" w:eastAsia="Times New Roman" w:hAnsi="Times New Roman" w:cs="Times New Roman"/>
        <w:sz w:val="24"/>
      </w:rPr>
    </w:lvl>
    <w:lvl w:ilvl="4" w:tentative="1">
      <w:lvlJc w:val="left"/>
      <w:lvlText w:val="%5."/>
      <w:numFmt w:val="lowerLetter"/>
      <w:start w:val="1"/>
      <w:suff w:val="tab"/>
      <w:pPr>
        <w:ind w:hanging="360" w:left="3098" w:start="3098"/>
      </w:pPr>
      <w:rPr>
        <w:rFonts w:ascii="Times New Roman" w:eastAsia="Times New Roman" w:hAnsi="Times New Roman" w:cs="Times New Roman"/>
        <w:sz w:val="24"/>
      </w:rPr>
    </w:lvl>
    <w:lvl w:ilvl="5" w:tentative="1">
      <w:lvlJc w:val="right"/>
      <w:lvlText w:val="%6."/>
      <w:numFmt w:val="lowerRoman"/>
      <w:start w:val="1"/>
      <w:suff w:val="tab"/>
      <w:pPr>
        <w:ind w:hanging="180" w:left="3818" w:start="3818"/>
      </w:pPr>
      <w:rPr>
        <w:rFonts w:ascii="Times New Roman" w:eastAsia="Times New Roman" w:hAnsi="Times New Roman" w:cs="Times New Roman"/>
        <w:sz w:val="24"/>
      </w:rPr>
    </w:lvl>
    <w:lvl w:ilvl="6" w:tentative="1">
      <w:lvlJc w:val="left"/>
      <w:lvlText w:val="%7."/>
      <w:numFmt w:val="decimal"/>
      <w:start w:val="1"/>
      <w:suff w:val="tab"/>
      <w:pPr>
        <w:ind w:hanging="360" w:left="4538" w:start="4538"/>
      </w:pPr>
      <w:rPr>
        <w:rFonts w:ascii="Times New Roman" w:eastAsia="Times New Roman" w:hAnsi="Times New Roman" w:cs="Times New Roman"/>
        <w:sz w:val="24"/>
      </w:rPr>
    </w:lvl>
    <w:lvl w:ilvl="7" w:tentative="1">
      <w:lvlJc w:val="left"/>
      <w:lvlText w:val="%8."/>
      <w:numFmt w:val="lowerLetter"/>
      <w:start w:val="1"/>
      <w:suff w:val="tab"/>
      <w:pPr>
        <w:ind w:hanging="360" w:left="5258" w:start="5258"/>
      </w:pPr>
      <w:rPr>
        <w:rFonts w:ascii="Times New Roman" w:eastAsia="Times New Roman" w:hAnsi="Times New Roman" w:cs="Times New Roman"/>
        <w:sz w:val="24"/>
      </w:rPr>
    </w:lvl>
    <w:lvl w:ilvl="8" w:tentative="1">
      <w:lvlJc w:val="right"/>
      <w:lvlText w:val="%9."/>
      <w:numFmt w:val="lowerRoman"/>
      <w:start w:val="1"/>
      <w:suff w:val="tab"/>
      <w:pPr>
        <w:ind w:hanging="180" w:left="5978" w:start="5978"/>
      </w:pPr>
      <w:rPr>
        <w:rFonts w:ascii="Times New Roman" w:eastAsia="Times New Roman" w:hAnsi="Times New Roman" w:cs="Times New Roman"/>
        <w:sz w:val="24"/>
      </w:rPr>
    </w:lvl>
  </w:abstractNum>
  <w:abstractNum w:abstractNumId="2057582282">
    <w:multiLevelType w:val="hybridMultilevel"/>
    <w:tmpl w:val="ffffffff"/>
    <w:lvl w:ilvl="0">
      <w:lvlJc w:val="left"/>
      <w:lvlText w:val="%1."/>
      <w:numFmt w:val="decimal"/>
      <w:start w:val="8"/>
      <w:suff w:val="tab"/>
      <w:pPr>
        <w:ind w:hanging="36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num w:numId="1">
    <w:abstractNumId w:val="417216465"/>
  </w:num>
  <w:num w:numId="2">
    <w:abstractNumId w:val="1650595477"/>
  </w:num>
  <w:num w:numId="3">
    <w:abstractNumId w:val="975455421"/>
  </w:num>
  <w:num w:numId="4">
    <w:abstractNumId w:val="1298757636"/>
  </w:num>
  <w:num w:numId="5">
    <w:abstractNumId w:val="1227182713"/>
  </w:num>
  <w:num w:numId="6">
    <w:abstractNumId w:val="734623012"/>
  </w:num>
  <w:num w:numId="7">
    <w:abstractNumId w:val="929850289"/>
  </w:num>
  <w:num w:numId="8">
    <w:abstractNumId w:val="80375488"/>
  </w:num>
  <w:num w:numId="9">
    <w:abstractNumId w:val="1089815146"/>
  </w:num>
  <w:num w:numId="10">
    <w:abstractNumId w:val="359162627"/>
  </w:num>
  <w:num w:numId="11">
    <w:abstractNumId w:val="1744178945"/>
  </w:num>
  <w:num w:numId="12">
    <w:abstractNumId w:val="80375488"/>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lvlOverride w:ilvl="0">
      <w:lvl w:ilvl="0">
        <w:lvlText w:val=""/>
        <w:numFmt w:val="decimal"/>
        <w:rPr>
          <w:rFonts w:ascii="Times New Roman" w:eastAsia="Times New Roman" w:hAnsi="Times New Roman" w:cs="Times New Roman"/>
        </w:rPr>
      </w:lvl>
    </w:lvlOverride>
  </w:num>
  <w:num w:numId="13">
    <w:abstractNumId w:val="143201557"/>
  </w:num>
  <w:num w:numId="14">
    <w:abstractNumId w:val="1056199502"/>
  </w:num>
  <w:num w:numId="15">
    <w:abstractNumId w:val="1514420033"/>
  </w:num>
  <w:num w:numId="16">
    <w:abstractNumId w:val="2057582282"/>
  </w:num>
  <w:num w:numId="17">
    <w:abstractNumId w:val="2027519181"/>
  </w:num>
  <w:num w:numId="18">
    <w:abstractNumId w:val="5250863"/>
  </w:num>
</w:numbering>
</file>

<file path=word/settings.xml><?xml version="1.0" encoding="utf-8"?>
<w:settings xmlns:w="http://schemas.openxmlformats.org/wordprocessingml/2006/main" xmlns:m="http://schemas.openxmlformats.org/officeDocument/2006/math">
  <w:zoom w:percent="100"/>
  <w:defaultTabStop w:val="708"/>
  <w:characterSpacingControl xmlns:w="http://schemas.openxmlformats.org/wordprocessingml/2006/main" w:val="doNotCompress"/>
  <w:compat xmlns:w="http://schemas.openxmlformats.org/wordprocessingml/2006/main"/>
  <m:mathPr>
    <m:mathFont m:val="Cambria Math"/>
    <m:brkBin m:val="before"/>
    <m:brkBinSub m:val="--"/>
    <m:smallFrac w:val="0"/>
    <m:dispDef w:val="1"/>
    <m:lMargin w:val="0"/>
    <m:rMargin w:val="0"/>
    <m:defJc m:val="centerGroup"/>
    <m:wrapIndent w:val="1440"/>
    <m:intLim xmlns:m="http://schemas.openxmlformats.org/officeDocument/2006/math" m:val="subSup"/>
    <m:naryLim m:val="undOvr"/>
  </m:mathPr>
  <w:themeFontLang xmlns:w="http://schemas.openxmlformats.org/wordprocessingml/2006/main" w:val="ru-RU"/>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o="urn:schemas-microsoft-com:office:office" xmlns:v="urn:schemas-microsoft-com:vml" v:ext="edit" spidmax="2050"/>
    <o:shapelayout xmlns:o="urn:schemas-microsoft-com:office:office" xmlns:v="urn:schemas-microsoft-com:vml" v:ext="edit">
      <o:idmap v:ext="edit" data="1"/>
    </o:shapelayout>
  </w:shapeDefaults>
  <w:decimalSymbol xmlns:w="http://schemas.openxmlformats.org/wordprocessingml/2006/main" w:val=","/>
  <w:listSeparator xmlns:w="http://schemas.openxmlformats.org/wordprocessingml/2006/main" w:val=";"/>
  <w:bordersDoNotSurroundHeader xmlns:w="http://schemas.openxmlformats.org/wordprocessingml/2006/main" w:val="false"/>
  <w:bordersDoNotSurroundFooter xmlns:w="http://schemas.openxmlformats.org/wordprocessingml/2006/main" w:val="false"/>
  <w:footnotePr xmlns:w="http://schemas.openxmlformats.org/wordprocessingml/2006/main">
    <w:footnote w:id="0"/>
    <w:footnote w:id="1"/>
    <w:pos w:val="pageBottom"/>
  </w:footnotePr>
  <w:endnotePr xmlns:w="http://schemas.openxmlformats.org/wordprocessingml/2006/main">
    <w:endnote w:id="0"/>
    <w:endnote w:id="1"/>
    <w:pos w:val="docEnd"/>
  </w:endnotePr>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3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_rels/document.xml.rels><?xml version="1.0" encoding="UTF-8" standalone="yes"?>
<Relationships xmlns="http://schemas.openxmlformats.org/package/2006/relationships"><Relationship Id="rId3" Type="http://schemas.openxmlformats.org/officeDocument/2006/relationships/image" Target="media/Image2.png"/><Relationship Id="rId4" Type="http://schemas.openxmlformats.org/officeDocument/2006/relationships/theme" Target="theme/theme1.xml"/><Relationship Id="rId5" Type="http://schemas.openxmlformats.org/officeDocument/2006/relationships/header" Target="header1.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numbering" Target="numbering.xml"/><Relationship Id="rId9" Type="http://schemas.openxmlformats.org/officeDocument/2006/relationships/styles" Target="styles.xml"/><Relationship Id="rId10" Type="http://schemas.openxmlformats.org/officeDocument/2006/relationships/fontTable" Target="fontTable.xml"/><Relationship Id="rId1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07/7/7/main" val="1F497D" mc:Ignorable=""/>
      </a:dk2>
      <a:lt2>
        <a:srgbClr xmlns:mc="http://schemas.openxmlformats.org/markup-compatibility/2006" xmlns:a14="http://schemas.microsoft.com/office/drawing/2007/7/7/main" val="EEECE1" mc:Ignorable=""/>
      </a:lt2>
      <a:accent1>
        <a:srgbClr xmlns:mc="http://schemas.openxmlformats.org/markup-compatibility/2006" xmlns:a14="http://schemas.microsoft.com/office/drawing/2007/7/7/main" val="4F81BD" mc:Ignorable=""/>
      </a:accent1>
      <a:accent2>
        <a:srgbClr xmlns:mc="http://schemas.openxmlformats.org/markup-compatibility/2006" xmlns:a14="http://schemas.microsoft.com/office/drawing/2007/7/7/main" val="C0504D" mc:Ignorable=""/>
      </a:accent2>
      <a:accent3>
        <a:srgbClr xmlns:mc="http://schemas.openxmlformats.org/markup-compatibility/2006" xmlns:a14="http://schemas.microsoft.com/office/drawing/2007/7/7/main" val="9BBB59" mc:Ignorable=""/>
      </a:accent3>
      <a:accent4>
        <a:srgbClr xmlns:mc="http://schemas.openxmlformats.org/markup-compatibility/2006" xmlns:a14="http://schemas.microsoft.com/office/drawing/2007/7/7/main" val="8064A2" mc:Ignorable=""/>
      </a:accent4>
      <a:accent5>
        <a:srgbClr xmlns:mc="http://schemas.openxmlformats.org/markup-compatibility/2006" xmlns:a14="http://schemas.microsoft.com/office/drawing/2007/7/7/main" val="4BACC6" mc:Ignorable=""/>
      </a:accent5>
      <a:accent6>
        <a:srgbClr xmlns:mc="http://schemas.openxmlformats.org/markup-compatibility/2006" xmlns:a14="http://schemas.microsoft.com/office/drawing/2007/7/7/main" val="F79646" mc:Ignorable=""/>
      </a:accent6>
      <a:hlink>
        <a:srgbClr xmlns:mc="http://schemas.openxmlformats.org/markup-compatibility/2006" xmlns:a14="http://schemas.microsoft.com/office/drawing/2007/7/7/main" val="0000FF" mc:Ignorable=""/>
      </a:hlink>
      <a:folHlink>
        <a:srgbClr xmlns:mc="http://schemas.openxmlformats.org/markup-compatibility/2006" xmlns:a14="http://schemas.microsoft.com/office/drawing/2007/7/7/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07/7/7/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07/7/7/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07/7/7/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TotalTime>1798</TotalTime>
  <Pages>27</Pages>
  <Words>8112</Words>
  <Characters>46240</Characters>
  <CharactersWithSpaces>54244</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zguprdel</dc:creator>
</cp:coreProperties>
</file>