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25 апреля 2024 года № 21</w:t>
      </w:r>
    </w:p>
    <w:p>
      <w:pPr>
        <w:jc w:val="both"/>
        <w:textAlignment w:val="auto"/>
        <w:ind w:left="0" w:right="3684" w:start="0" w:end="3684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-2" w:start="0" w:end="-2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Об утверждении Порядка выдвижения, рассмотрения и реализации инициативных проектов в Пикалевском городском поселении,</w:t>
      </w:r>
    </w:p>
    <w:p>
      <w:pPr>
        <w:jc w:val="center"/>
        <w:textAlignment w:val="auto"/>
        <w:ind w:left="0" w:right="-2" w:start="0" w:end="-2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shd w:fill="ffffff" w:val="clear"/>
        </w:rPr>
      </w:pPr>
      <w:r>
        <w:rPr>
          <w:b w:val="true"/>
          <w:rFonts w:ascii="Times New Roman" w:eastAsia="Times New Roman" w:hAnsi="Times New Roman" w:cs="Times New Roman"/>
          <w:sz w:val="28"/>
          <w:shd w:fill="ffffff" w:val="clear"/>
        </w:rPr>
        <w:t xml:space="preserve">а также участия граждан и юридических лиц в их реализации</w:t>
      </w:r>
    </w:p>
    <w:p>
      <w:pPr>
        <w:jc w:val="both"/>
        <w:textAlignment w:val="auto"/>
        <w:ind w:left="0" w:right="3684" w:start="0" w:end="3684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left="0" w:right="3684" w:start="0" w:end="3684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Руководствуясь частью 1 статьи 3 </w:t>
      </w:r>
      <w:r>
        <w:rPr>
          <w:rFonts w:ascii="Times New Roman CYR" w:eastAsia="Times New Roman CYR" w:hAnsi="Times New Roman CYR" w:cs="Times New Roman CYR"/>
          <w:sz w:val="28"/>
        </w:rPr>
        <w:t xml:space="preserve">областного закона от 16 февраля 2024 года № 10-оз «О содействии участию населения в осуществлении местного самоуправления в Ленинградской области», 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contextualSpacing w:val="true"/>
        <w:bidi w:val="false"/>
        <w:numPr>
          <w:ilvl w:val="0"/>
          <w:numId w:val="5"/>
        </w:numPr>
        <w:tabs>
          <w:tab w:val="left" w:pos="993"/>
        </w:tabs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Утвердить Порядок выдвижения, рассмотрения и реализации инициативных проектов в Пикалевском городском поселении, </w:t>
      </w:r>
      <w:r>
        <w:rPr>
          <w:rFonts w:ascii="Times New Roman" w:eastAsia="Times New Roman" w:hAnsi="Times New Roman" w:cs="Times New Roman"/>
          <w:sz w:val="28"/>
          <w:shd w:fill="ffffff" w:val="clear"/>
        </w:rPr>
        <w:t xml:space="preserve">а также участия граждан и юридических лиц в их реализации</w:t>
      </w:r>
      <w:r>
        <w:rPr>
          <w:rFonts w:ascii="Times New Roman CYR" w:eastAsia="Times New Roman CYR" w:hAnsi="Times New Roman CYR" w:cs="Times New Roman CYR"/>
          <w:sz w:val="28"/>
        </w:rPr>
        <w:t xml:space="preserve"> согласно приложению.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contextualSpacing w:val="true"/>
        <w:bidi w:val="false"/>
        <w:numPr>
          <w:ilvl w:val="0"/>
          <w:numId w:val="5"/>
        </w:numPr>
        <w:tabs>
          <w:tab w:val="left" w:pos="993"/>
        </w:tabs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 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contextualSpacing w:val="true"/>
        <w:bidi w:val="false"/>
        <w:numPr>
          <w:ilvl w:val="0"/>
          <w:numId w:val="5"/>
        </w:numPr>
        <w:tabs>
          <w:tab w:val="left" w:pos="993"/>
        </w:tabs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Настоящее решение вступает в силу после официального опубликования.</w:t>
      </w: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993"/>
        </w:tabs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hanging="284" w:left="284" w:right="0" w:start="284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hanging="284" w:left="284" w:right="0" w:start="284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16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>
      <w:pPr>
        <w:jc w:val="both"/>
        <w:textAlignment w:val="auto"/>
        <w:ind w:left="0" w:right="0" w:start="0" w:end="0"/>
        <w:adjustRightInd w:val="true"/>
        <w:spacing w:after="16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25 апреля 2024 года № 21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ПОРЯДОК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shd w:fill="ffffff" w:val="clear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выдвижения, рассмотрения и реализации инициативных проектов в Пикалевском городском поселении, </w:t>
      </w:r>
      <w:r>
        <w:rPr>
          <w:b w:val="true"/>
          <w:rFonts w:ascii="Times New Roman" w:eastAsia="Times New Roman" w:hAnsi="Times New Roman" w:cs="Times New Roman"/>
          <w:sz w:val="28"/>
          <w:shd w:fill="ffffff" w:val="clear"/>
        </w:rPr>
        <w:t xml:space="preserve">а также участия граждан и юридических лиц в их реализации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1. Общие положения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1.1. Настоящий Порядок определяет порядок выдвижения, рассмотрения и реализации инициативных проектов в целях содействия участию населения в осуществлении местного самоуправления на территории Пикалевского городского поселения (далее– поселение). 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tabs>
          <w:tab w:val="left" w:pos="645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1.2. Положения настоящего Порядка применяются </w:t>
      </w:r>
      <w:r>
        <w:rPr>
          <w:rFonts w:ascii="Times New Roman" w:eastAsia="Times New Roman" w:hAnsi="Times New Roman" w:cs="Times New Roman"/>
          <w:sz w:val="28"/>
        </w:rPr>
        <w:t xml:space="preserve">в отношении инициативных проектов, выдвигаемых органами территориального общественного самоуправления для получения финансовой поддержки за счет межбюджетных трансфертов из областного бюджета Ленинградской области </w:t>
      </w:r>
      <w:r>
        <w:rPr>
          <w:rFonts w:ascii="Times New Roman CYR" w:eastAsia="Times New Roman CYR" w:hAnsi="Times New Roman CYR" w:cs="Times New Roman CYR"/>
          <w:sz w:val="28"/>
        </w:rPr>
        <w:t xml:space="preserve">в рамках реализации областного закона Ленинградской области от </w:t>
      </w:r>
      <w:r>
        <w:rPr>
          <w:rFonts w:ascii="Times New Roman CYR" w:eastAsia="Times New Roman CYR" w:hAnsi="Times New Roman CYR" w:cs="Times New Roman CYR"/>
          <w:sz w:val="28"/>
        </w:rPr>
        <w:t xml:space="preserve">16 февраля 2024 года № 10-оз «О содействии участию населения в осуществлении местного самоуправления в Ленинградской области»</w:t>
      </w:r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Понятия, используемые в настоящем Порядке, применяются в значениях, определенных законодательством Российской Федерации и законодательством Ленинградской области.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1.4. Целью реализации инициативных проектов является активизация участия жителей поселения в определении приоритетов расходования средств бюджета поселения и поддержка инициатив жителей в решении вопросов местного значения и (или) иных вопросов, право решения которых предоставлено органам местного самоуправления в поселении.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2. Инициаторы инициативных проектов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2.1. Выдвижение инициативных проектов осуществляется инициаторами проектов.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2.2. С инициативой о внесении инициативного проекта вправе выступить (далее также – инициаторы проекта) органы территориального общественного самоуправления поселения.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2.3. Деятельность территориального общественного самоуправления, его полномочия устанавливаются соответствующим решением Совета депутатов Пикалевского городского поселения.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3. Порядок выдвижения инициативных проектов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   3.1. Выдвижение инициативных проектов осуществляется инициаторами проектов.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3.2. Инициативный проект составляется по форме согласно приложению к настоящему Порядку и должен содержать следующие сведения: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наименование инициативного проекта; 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описание проблемы, решение которой имеет приоритетное значение для жителей поселения или его части;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обоснование предложений по решению указанной проблемы;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описание ожидаемого результата (ожидаемых результатов)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предварительный расчет необходимых расходов на реализацию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планируемые сроки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указание на объем средств бюджета поселения на реализацию инициативного проекта, за исключением планируемого объема инициативных платежей;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указание на объем средств областного бюджета Ленинградской области на реализацию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указание на территорию поселения или его часть, в границах которой будет реализовываться инициативный проект; 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фамилия имя отчество, контактный телефон, адрес электронной почты инициатора проекта.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К инициативному проекту по решению инициатора проекта могут прилагаться графические и (или) табличные материалы, сметные расчеты, коммерческие предложения.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3.3. Инициативные проекты могут реализовываться на части территории поселения в пределах границ территории населенного пункта поселения, в котором осуществляется территориальное общественное самоуправление.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4. Порядок обсуждения инициативных проектов </w:t>
      </w: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4.1. Инициативный проект до его внесения в администрацию Пикалевского городского поселения подлежит рассмотрению на собрании или конференции граждан (собрании делегатов),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 проекта, определения его соответствия интересам жителей поселения или  его части, целесообразности реализации инициативного проекта, а также принятия собранием или конференцией граждан (собранием делегатов) решения о поддержке инициативного проекта. 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4.2. Собрание, конференция граждан (собрание делегатов) проводятся по инициативе жителей поселения. Инициатором проведения собраний, конференций (собраний делегатов) от имени населения поселения может выступать совет территориального общественного самоуправления.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4.3. Собрание, конференция граждан (собрание делегатов) по вопросам выдвижения инициативного проекта назначается и проводится в соответствии с решением Совета депутатов Пикалевского городского поселения, регламентирующим порядок назначения и проведения собраний и конференций граждан (собрания делегатов) на территории поселения.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4.4. Администрация Пикалевского городского поселения оказывает содействие инициаторам проведения собраний, конференций граждан (собраний делегатов). 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4.5. Поддержка инициативного проекта оформляется протоколом собрания, конференции граждан (собрания делегатов).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4.6. Инициаторы проекта при внесении инициативного проекта в администрацию Пикалевского городского поселения прикладывают к нему соответственно протокол собрания или конференции граждан (собрания делегатов), подтверждающий поддержку инициативного проекта жителями поселения или его части.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284"/>
        </w:tabs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5. Порядок внесения инициативных проектов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284"/>
        </w:tabs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5.1. Внесение инициативного проекта осуществляется инициатором проекта путем направления в администрацию Пикалевского городского поселения с приложением следующих документов: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расчет и обоснование расходов на реализацию инициативного проекта (смета, коммерческие предложения, иные подтверждающие документы);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гарантийное письмо, подписанное инициатором проекта (представителем инициатора проекта), содержащее обязательства </w:t>
      </w:r>
      <w:r>
        <w:rPr>
          <w:rFonts w:ascii="Times New Roman" w:eastAsia="Times New Roman" w:hAnsi="Times New Roman" w:cs="Times New Roman"/>
          <w:sz w:val="28"/>
        </w:rPr>
        <w:t xml:space="preserve">о финансовом и (или) имущественном и (или) трудовом участии в реализации инициативного проекта;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документ, подтверждающий факт поддержки инициативного проекта населением (протокол собрания или конференции граждан (собрания делегатов) с приложением списка участников).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5.2. Днем внесения инициативного проекта считается день его поступления в администрацию Пикалевского городского поселения.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5.3. Информация о внесении инициативного проекта в администрацию Пикалевского городского поселения подлежит опубликованию (обнародованию) в газете «Рабочее слово» и на официальном сайте Пикалевского городского поселения в информационно-телекоммуникационной сети «Интернет» в течение трех рабочих дней со дня внесения инициативного проекта в администрацию Пикалевского городского поселения и должна содержать сведения, указанные в инициативном проекте, а также сведения об инициаторах проекта.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Одновременно граждане информируются о возможности представления в администрацию Пикалевского городского поселения своих замечаний и предложений по инициативному проекту с указанием срока их представления. 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Срок представления замечаний и предложений по инициативному проекту составляет десять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6. Порядок рассмотрения инициативных проектов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6.1. Инициативный проект, внесенный в администрацию Пикалевского городского поселения, подлежит обязательному рассмотрению в течение тридцати дней со дня его внесения.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6.2. Администрация Пикалевского городского поселения осуществляет подготовку заключения о правомерности, возможности, целесообразности реализации соответствующего инициативного проекта (далее – заключение).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6.3. Администрация Пикалевского городского поселения по результатам рассмотрения инициативного проекта принимает одно из следующих решений: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поддержать инициативный проект и направить инициативный проект для участия в отборе для включения в муниципальную программу в соответствии с Порядком включения инициативных проектов в муниципальную программу, утверждаемым муниципальным правовым актом администрации Пикалевского городского поселения, с целью включения инициативного проекта в заявку поселения на участие в региональном конкурсном отборе;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6.4. Администрация Пикалевского городского поселения принимает решение об отказе в поддержке инициативного проекта в одном из следующих случаев: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несоблюдение установленного порядка внесения инициативного проекта и его рассмотрения;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Ленинградской области, Уставу поселения и иным муниципальным правовым актам;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отсутствие средств областного бюджета Ленинградской области в объеме средств, необходимом для реализации инициативного проекта;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наличие возможности решения описанной в инициативном проекте проблемы более эффективным способом.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6.5. Администрация Пикалевского городского поселения вправе, а в случае, предусмотренном абзацем шестым пункта 6.4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6.6.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Информация о рассмотрении инициативного проекта администрацией Пикалевского городского псоеления в течение десяти дней со дня принятия решения, указанного в пункте 6.3 настоящего Порядка, подлежит опубликованию (обнародованию) в газете «Рабочее слово» и на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официальном сайте Пикалевского городского поселения в информационно-телекоммуникационной сети «Интернет».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7. Порядок реализации инициативных проектов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7.1. Реализация инициативных проектов, выдвигаемых в соответствии с настоящим Порядком, осуществляется на условиях софинансирования за счет следующих источников: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средства областного бюджета Ленинградской области;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средства бюджета поселения;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добровольное финансовое и (или) имущественное и (или) трудовое участие</w:t>
      </w:r>
      <w:r>
        <w:rPr>
          <w:rFonts w:ascii="Times New Roman CYR" w:eastAsia="Times New Roman CYR" w:hAnsi="Times New Roman CYR" w:cs="Times New Roman CYR"/>
          <w:sz w:val="28"/>
        </w:rPr>
        <w:t xml:space="preserve"> в реализации инициативного проекта инициатора проекта собственными и (или) привлечёнными силами в объеме, предусмотренном инициативным проектом.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7.2. Инициаторы проекта вправе осуществлять контроль за реализацией инициативного проекта в формах, не противоречащих законодательству Российской Федерации.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7.3. Информация о ходе реализации инициативного проекта, в том числе об использовании денежных средств, о добровольном имущественном и (или) трудовом участии заинтересованных в его реализации лиц, подлежит опубликованию (обнародованию) в газете «Рабочее слово» и на официальном сайте Пикалевского городского поселения в информационно-телекоммуникационной сети «Интернет».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7.4. Отчет администрации Пикалевского городского поселения об итогах реализации инициативного проекта подлежит опубликованию (обнародованию) в газете «Рабочее слово» и на официальном сайте Пикалевского городского поселения в информационно-телекоммуникационной сети «Интернет» в течение тридцати календарных дней со дня завершения реализации инициативного проекта.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16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br w:type="page"/>
      </w:r>
    </w:p>
    <w:p>
      <w:pPr>
        <w:jc w:val="both"/>
        <w:textAlignment w:val="auto"/>
        <w:ind w:left="0" w:right="0" w:start="0" w:end="0"/>
        <w:adjustRightInd w:val="true"/>
        <w:spacing w:after="16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к Порядку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 CYR" w:eastAsia="Times New Roman CYR" w:hAnsi="Times New Roman CYR" w:cs="Times New Roman CYR"/>
          <w:sz w:val="28"/>
        </w:rPr>
      </w:pPr>
      <w:r>
        <w:rPr>
          <w:b w:val="true"/>
          <w:rFonts w:ascii="Times New Roman CYR" w:eastAsia="Times New Roman CYR" w:hAnsi="Times New Roman CYR" w:cs="Times New Roman CYR"/>
          <w:sz w:val="28"/>
        </w:rPr>
        <w:t xml:space="preserve">Инициативный проект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 CYR" w:eastAsia="Times New Roman CYR" w:hAnsi="Times New Roman CYR" w:cs="Times New Roman CYR"/>
          <w:sz w:val="28"/>
        </w:rPr>
      </w:pPr>
    </w:p>
    <w:tbl>
      <w:tblPr>
        <w:tblLayout w:type="autofit"/>
        <w:tblInd w:w="0" w:type="dxa"/>
        <w:tblW w:w="0" w:type="auto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595"/>
        <w:gridCol w:w="4820"/>
        <w:gridCol w:w="3883"/>
      </w:tblGrid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№ 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п/п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Сведения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1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Наименование инициативного проекта 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2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Описание проблемы, решение которой имеет приоритетное значение для жителей Пикалевского городского поселения или его части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3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Обоснование предложений по решению указанной проблемы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4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Описание ожидаемого результата (ожидаемых результатов) реализации инициативного проекта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5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Предварительный расчет необходимых расходов на реализацию инициативного проекта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6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Планируемые сроки реализации инициативного проекта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7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8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9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Указание на объем средств областного бюджета на реализацию инициативного проекта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10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Указание на территорию Пикалевского городского поселения или его часть, в границах которой будет реализовываться инициативный проект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  <w:tr>
        <w:tc>
          <w:tcPr>
            <w:left w:w="28" w:type="dxa"/>
            <w:right w:w="28" w:type="dxa"/>
            <w:top w:w="28" w:type="dxa"/>
            <w:bottom w:w="28" w:type="dxa"/>
            <w:tcW w:type="dxa" w:w="59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11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4820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</w:rPr>
              <w:t xml:space="preserve">Информация об инициаторе проекта (Ф.И.О.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Пикалевского городского поселения, номер контактного телефона, адрес электронной почты (при наличии)</w:t>
            </w:r>
          </w:p>
        </w:tc>
        <w:tc>
          <w:tcPr>
            <w:left w:w="28" w:type="dxa"/>
            <w:right w:w="28" w:type="dxa"/>
            <w:top w:w="28" w:type="dxa"/>
            <w:bottom w:w="28" w:type="dxa"/>
            <w:tcW w:type="dxa" w:w="3883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 CYR" w:eastAsia="Times New Roman CYR" w:hAnsi="Times New Roman CYR" w:cs="Times New Roman CYR"/>
                <w:sz w:val="28"/>
              </w:rPr>
            </w:pPr>
          </w:p>
        </w:tc>
      </w:tr>
    </w:tbl>
    <w:p>
      <w:pPr>
        <w:outlineLvl w:val="1"/>
        <w:jc w:val="center"/>
        <w:textAlignment w:val="auto"/>
        <w:ind w:left="0" w:right="0" w:start="0" w:end="0"/>
        <w:spacing w:after="16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outlineLvl w:val="1"/>
        <w:jc w:val="center"/>
        <w:textAlignment w:val="auto"/>
        <w:ind w:left="0" w:right="0" w:start="0" w:end="0"/>
        <w:spacing w:after="160" w:line="240"/>
        <w:bidi w:val="false"/>
        <w:rPr>
          <w:rFonts w:ascii="Times New Roman" w:eastAsia="Times New Roman" w:hAnsi="Times New Roman" w:cs="Times New Roman"/>
          <w:sz w:val="20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567" w:footer="272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separator/>
      </w:r>
    </w:p>
  </w:endnote>
  <w:endnote w:type="continuationSeparator" w:id="1"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panose1 w:val="02070309020205020404"/>
    <w:family w:val="modern"/>
    <w:charset w:val="CC"/>
    <w:pitch w:val="fixed"/>
  </w:font>
  <w:font w:name="Cambria Math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 CYR">
    <w:panose1 w:val="00000000000000000000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 CYR">
    <w:family w:val="roman"/>
    <w:charset w:val="00"/>
    <w:pitch w:val="variable"/>
  </w:font>
  <w:font w:name="Times New Roman CYR CE">
    <w:family w:val="roman"/>
    <w:charset w:val="EE"/>
    <w:pitch w:val="variable"/>
  </w:font>
  <w:font w:name="Times New Roman CYR Greek">
    <w:family w:val="roman"/>
    <w:charset w:val="A1"/>
    <w:pitch w:val="variable"/>
  </w:font>
  <w:font w:name="Times New Roman CYR Tur">
    <w:family w:val="roman"/>
    <w:charset w:val="A2"/>
    <w:pitch w:val="variable"/>
  </w:font>
  <w:font w:name="Times New Roman CYR (Hebrew)">
    <w:family w:val="roman"/>
    <w:charset w:val="B1"/>
    <w:pitch w:val="variable"/>
  </w:font>
  <w:font w:name="Times New Roman CYR (Arabic)">
    <w:family w:val="roman"/>
    <w:charset w:val="B2"/>
    <w:pitch w:val="variable"/>
  </w:font>
  <w:font w:name="Times New Roman CYR Baltic">
    <w:family w:val="roman"/>
    <w:charset w:val="BA"/>
    <w:pitch w:val="variable"/>
  </w:font>
  <w:font w:name="Times New Roman CYR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separator/>
      </w:r>
    </w:p>
  </w:footnote>
  <w:footnote w:type="continuationSeparator" w:id="1"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8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21786940">
    <w:multiLevelType w:val="hybridMultilevel"/>
    <w:tmpl w:val="6186b082"/>
    <w:lvl w:ilvl="0">
      <w:lvlJc w:val="left"/>
      <w:lvlText w:val="%1."/>
      <w:numFmt w:val="decimal"/>
      <w:start w:val="1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43064351">
    <w:multiLevelType w:val="multilevel"/>
    <w:tmpl w:val="25eace6e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decimal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left"/>
      <w:lvlText w:val="%3."/>
      <w:numFmt w:val="decimal"/>
      <w:start w:val="1"/>
      <w:suff w:val="tab"/>
      <w:pPr>
        <w:ind w:hanging="36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decimal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left"/>
      <w:lvlText w:val="%6."/>
      <w:numFmt w:val="decimal"/>
      <w:start w:val="1"/>
      <w:suff w:val="tab"/>
      <w:pPr>
        <w:ind w:hanging="36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decimal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left"/>
      <w:lvlText w:val="%9."/>
      <w:numFmt w:val="decimal"/>
      <w:start w:val="1"/>
      <w:suff w:val="tab"/>
      <w:pPr>
        <w:ind w:hanging="36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665203890">
    <w:multiLevelType w:val="hybridMultilevel"/>
    <w:tmpl w:val="75f0f988"/>
    <w:lvl w:ilvl="0">
      <w:lvlJc w:val="left"/>
      <w:lvlText w:val="%1."/>
      <w:numFmt w:val="decimal"/>
      <w:start w:val="4"/>
      <w:suff w:val="tab"/>
      <w:pPr>
        <w:ind w:hanging="360" w:left="2204" w:start="2204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2924" w:start="2924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3644" w:start="3644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4364" w:start="4364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5084" w:start="5084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5804" w:start="5804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6524" w:start="6524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7244" w:start="7244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964" w:start="7964"/>
      </w:pPr>
      <w:rPr>
        <w:rFonts w:ascii="Times New Roman" w:eastAsia="Times New Roman" w:hAnsi="Times New Roman" w:cs="Times New Roman"/>
        <w:sz w:val="24"/>
      </w:rPr>
    </w:lvl>
  </w:abstractNum>
  <w:abstractNum w:abstractNumId="687609523">
    <w:multiLevelType w:val="hybridMultilevel"/>
    <w:tmpl w:val="a24893a"/>
    <w:lvl w:ilvl="0">
      <w:lvlJc w:val="left"/>
      <w:lvlText w:val="%1."/>
      <w:numFmt w:val="decimal"/>
      <w:start w:val="1"/>
      <w:suff w:val="tab"/>
      <w:pPr>
        <w:ind w:hanging="360" w:left="900" w:start="90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20" w:start="162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40" w:start="234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60" w:start="306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780" w:start="378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00" w:start="450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20" w:start="522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40" w:start="594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60" w:start="6660"/>
      </w:pPr>
      <w:rPr>
        <w:rFonts w:ascii="Times New Roman" w:eastAsia="Times New Roman" w:hAnsi="Times New Roman" w:cs="Times New Roman"/>
        <w:sz w:val="24"/>
      </w:rPr>
    </w:lvl>
  </w:abstractNum>
  <w:abstractNum w:abstractNumId="786314600">
    <w:multiLevelType w:val="hybridMultilevel"/>
    <w:tmpl w:val="25d822aa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146505110">
    <w:multiLevelType w:val="multilevel"/>
    <w:tmpl w:val="12dcfd40"/>
    <w:lvl w:ilvl="0">
      <w:lvlJc w:val="left"/>
      <w:lvlText w:val="%1."/>
      <w:numFmt w:val="decimal"/>
      <w:start w:val="1"/>
      <w:suff w:val="tab"/>
      <w:pPr>
        <w:ind w:hanging="375" w:left="2644" w:start="2644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862" w:start="862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484" w:start="2484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832" w:start="28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3540" w:start="3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4248" w:start="424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4596" w:start="4596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5304" w:start="5304"/>
      </w:pPr>
      <w:rPr>
        <w:rFonts w:ascii="Times New Roman" w:eastAsia="Times New Roman" w:hAnsi="Times New Roman" w:cs="Times New Roman"/>
        <w:sz w:val="24"/>
      </w:rPr>
    </w:lvl>
  </w:abstractNum>
  <w:abstractNum w:abstractNumId="1165828489">
    <w:multiLevelType w:val="multilevel"/>
    <w:tmpl w:val="12dcfd40"/>
    <w:lvl w:ilvl="0">
      <w:lvlJc w:val="left"/>
      <w:lvlText w:val="%1."/>
      <w:numFmt w:val="decimal"/>
      <w:start w:val="1"/>
      <w:suff w:val="tab"/>
      <w:pPr>
        <w:ind w:hanging="375" w:left="735" w:start="73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776" w:start="1776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484" w:start="2484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832" w:start="28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3540" w:start="3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4248" w:start="424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4596" w:start="4596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5304" w:start="5304"/>
      </w:pPr>
      <w:rPr>
        <w:rFonts w:ascii="Times New Roman" w:eastAsia="Times New Roman" w:hAnsi="Times New Roman" w:cs="Times New Roman"/>
        <w:sz w:val="24"/>
      </w:rPr>
    </w:lvl>
  </w:abstractNum>
  <w:abstractNum w:abstractNumId="1803964505">
    <w:multiLevelType w:val="hybridMultilevel"/>
    <w:tmpl w:val="3eb4d1c8"/>
    <w:lvl w:ilvl="0">
      <w:lvlJc w:val="left"/>
      <w:lvlText w:val="%1."/>
      <w:numFmt w:val="decimal"/>
      <w:start w:val="1"/>
      <w:suff w:val="tab"/>
      <w:pPr>
        <w:ind w:hanging="360" w:left="4115" w:start="4115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4835" w:start="4835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5555" w:start="5555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6275" w:start="6275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6995" w:start="6995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7715" w:start="771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8435" w:start="8435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9155" w:start="9155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9875" w:start="9875"/>
      </w:pPr>
      <w:rPr>
        <w:rFonts w:ascii="Times New Roman" w:eastAsia="Times New Roman" w:hAnsi="Times New Roman" w:cs="Times New Roman"/>
        <w:sz w:val="24"/>
      </w:rPr>
    </w:lvl>
  </w:abstractNum>
  <w:abstractNum w:abstractNumId="2071536871">
    <w:multiLevelType w:val="hybridMultilevel"/>
    <w:tmpl w:val="8b4c5294"/>
    <w:lvl w:ilvl="0">
      <w:lvlJc w:val="left"/>
      <w:lvlText w:val="%1)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abstractNum w:abstractNumId="2133279432">
    <w:multiLevelType w:val="hybridMultilevel"/>
    <w:tmpl w:val="5e94ba44"/>
    <w:lvl w:ilvl="0">
      <w:lvlJc w:val="left"/>
      <w:lvlText w:val="%1)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21786940"/>
  </w:num>
  <w:num w:numId="2">
    <w:abstractNumId w:val="43064351"/>
  </w:num>
  <w:num w:numId="3">
    <w:abstractNumId w:val="687609523"/>
  </w:num>
  <w:num w:numId="4">
    <w:abstractNumId w:val="2071536871"/>
  </w:num>
  <w:num w:numId="5">
    <w:abstractNumId w:val="1146505110"/>
  </w:num>
  <w:num w:numId="6">
    <w:abstractNumId w:val="1165828489"/>
  </w:num>
  <w:num w:numId="7">
    <w:abstractNumId w:val="665203890"/>
  </w:num>
  <w:num w:numId="8">
    <w:abstractNumId w:val="2133279432"/>
  </w:num>
  <w:num w:numId="9">
    <w:abstractNumId w:val="1803964505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10">
    <w:abstractNumId w:val="786314600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6</TotalTime>
  <Pages>7</Pages>
  <Words>2034</Words>
  <Characters>11599</Characters>
  <CharactersWithSpaces>13606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</cp:coreProperties>
</file>