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1 февраля 2024 года № 6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color w:val="00000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</w:rPr>
        <w:t xml:space="preserve">О внесении изменений в решение Совета депутатов Пикалевского городского поселения от 1 ноября 2022 года № 70 «О</w:t>
      </w:r>
      <w:r>
        <w:rPr>
          <w:b w:val="true"/>
          <w:rFonts w:ascii="Times New Roman" w:eastAsia="Times New Roman" w:hAnsi="Times New Roman" w:cs="Times New Roman"/>
          <w:sz w:val="28"/>
          <w:color w:val="000000"/>
        </w:rPr>
        <w:t xml:space="preserve"> порядке организации и проведения публичных слушаний и общественных обсуждений в Пикалевском городском поселении»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firstLine="720" w:left="0" w:right="0" w:start="0" w:end="0"/>
        <w:spacing w:after="0" w:line="240"/>
        <w:bidi w:val="false"/>
        <w:tabs>
          <w:tab w:val="left" w:pos="1260"/>
        </w:tabs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 целях приведения нормативных правовых актов Пикалевского городского поселения в соответствие с действующим законодательством, руководствуясь Федеральным законом от 6 октября 2003 года № 131-ФЗ «Об общих принципах организации местного самоуправления в Российской Федерации», Градостроительным кодексом Российской Федерации, Уставом Пикалевского городского поселения, Совет депутатов решил: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36"/>
        </w:numPr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Внести изменения в </w:t>
      </w: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решение Совета депутатов Пикалевского городского поселения от 1 ноября 2022 года № 70 «О</w:t>
      </w: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 порядке организации и проведения публичных слушаний и общественных обсуждений в Пикалевском городском поселении» и в Положение о порядке организации и проведения публичных слушаний в Пикалевском городском поселении (с изменениями, внесенными решением Совета депутатов от 19 января 2023 года № 2) (далее – решение, Положение):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36"/>
        </w:numPr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Пункт 1.3 раздела 1 Положения после слов «и настоящим Положением» дополнить словами «и проводятся с использованием федеральной государственной информационной системы «Единый портал государственных и информационных услуг (функций)» и официального сайта Пикалевского городского поселения в информационно-телекоммуникационной сети «Интернет.»;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Абзац пятый пункта 2.11 раздела 2 Положения после слов «информационно-телекоммуникационной сети «Интернет,» дополнить словами «</w:t>
      </w:r>
      <w:r>
        <w:rPr>
          <w:rFonts w:ascii="Times New Roman" w:eastAsia="Times New Roman" w:hAnsi="Times New Roman" w:cs="Times New Roman"/>
          <w:sz w:val="28"/>
        </w:rPr>
        <w:t xml:space="preserve">и использовании федеральной государственной информационной системы </w:t>
      </w:r>
      <w:r>
        <w:rPr>
          <w:rFonts w:ascii="Times New Roman" w:eastAsia="Times New Roman" w:hAnsi="Times New Roman" w:cs="Times New Roman"/>
          <w:sz w:val="28"/>
        </w:rPr>
        <w:t xml:space="preserve">«Единый портал государственных и муниципальных услуг (функций),»;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Пункт 2.13 раздела 2 Положения после слов «Пикалевского городского поселения» дополнить словами «</w:t>
      </w:r>
      <w:r>
        <w:rPr>
          <w:rFonts w:ascii="Times New Roman" w:eastAsia="Times New Roman" w:hAnsi="Times New Roman" w:cs="Times New Roman"/>
          <w:sz w:val="28"/>
        </w:rPr>
        <w:t xml:space="preserve">, а также в федеральной государственной информационной системе «Единый портал государственных и муниципальных услуг (функций)»;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 xml:space="preserve">Пункт 4.2 раздела 4 Положения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изложить в следующей редакции: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«4.2. </w:t>
      </w:r>
      <w:r>
        <w:rPr>
          <w:rFonts w:ascii="Times New Roman" w:eastAsia="Times New Roman" w:hAnsi="Times New Roman" w:cs="Times New Roman"/>
          <w:sz w:val="28"/>
        </w:rPr>
        <w:t xml:space="preserve">Председатель комиссии информирует о порядке проведения публичных слушаний, числе участников, приглашенных специалистах; объявляет вопрос, вынесенный на публичные слушания, а также оглашает поступившие (в том числе посредством официального сайта Пикалевского городского поселения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(функций)») замечания и предложения.»;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 xml:space="preserve">Пункт 4.17 раздела 4 Положения изложить в следующей редакции:</w:t>
      </w:r>
    </w:p>
    <w:p>
      <w:pPr>
        <w:jc w:val="both"/>
        <w:textAlignment w:val="auto"/>
        <w:ind w:firstLine="720" w:left="0" w:right="20" w:start="0" w:end="2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«4.17. </w:t>
      </w: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При проведении публичных слушаний ведется протокол, в котором указываются:</w:t>
      </w:r>
    </w:p>
    <w:p>
      <w:pPr>
        <w:jc w:val="both"/>
        <w:textAlignment w:val="auto"/>
        <w:ind w:left="0" w:right="20" w:start="0" w:end="2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           дата, время и место проведения публичных слушаний, дата оформления протокола;</w:t>
      </w:r>
    </w:p>
    <w:p>
      <w:pPr>
        <w:jc w:val="both"/>
        <w:textAlignment w:val="auto"/>
        <w:ind w:left="0" w:right="20" w:start="0" w:end="2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           инициатор проведения публичных слушаний, а также наименование, номер, даты принятия и опубликования решения (постановления) о назначении публичных слушаний;</w:t>
      </w:r>
    </w:p>
    <w:p>
      <w:pPr>
        <w:jc w:val="both"/>
        <w:textAlignment w:val="auto"/>
        <w:ind w:left="0" w:right="20" w:start="0" w:end="2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           наименование проекта муниципального правового акта, вопроса, обсуждаемого на публичных слушаниях;</w:t>
      </w:r>
    </w:p>
    <w:p>
      <w:pPr>
        <w:jc w:val="both"/>
        <w:textAlignment w:val="auto"/>
        <w:ind w:left="0" w:right="20" w:start="0" w:end="2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</w:pP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           </w:t>
      </w:r>
      <w:r>
        <w:rPr>
          <w:rFonts w:ascii="Times New Roman" w:eastAsia="Times New Roman" w:hAnsi="Times New Roman" w:cs="Times New Roman"/>
          <w:sz w:val="28"/>
        </w:rPr>
        <w:t xml:space="preserve">сведения об участниках публичных слушаний, в том числе </w:t>
      </w: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состав комиссии,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докладчики и список выступающих</w:t>
      </w:r>
      <w:r>
        <w:rPr>
          <w:rFonts w:ascii="Times New Roman" w:eastAsia="Times New Roman" w:hAnsi="Times New Roman" w:cs="Times New Roman"/>
          <w:sz w:val="28"/>
        </w:rPr>
        <w:t xml:space="preserve">, сведения об участвующих в них гражданах и (или) представителях общественных объединений</w:t>
      </w: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;</w:t>
      </w:r>
    </w:p>
    <w:p>
      <w:pPr>
        <w:jc w:val="both"/>
        <w:textAlignment w:val="auto"/>
        <w:ind w:left="0" w:right="0" w:start="0" w:end="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           </w:t>
      </w:r>
      <w:r>
        <w:rPr>
          <w:rFonts w:ascii="Times New Roman" w:eastAsia="Times New Roman" w:hAnsi="Times New Roman" w:cs="Times New Roman"/>
          <w:sz w:val="28"/>
        </w:rPr>
        <w:t xml:space="preserve">обобщенную информацию о ходе публичных слушаний, в том числе о мнениях их участников, поступивших предложениях и заявлениях (как со стороны органов местного самоуправления, так и со стороны общественности);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одобренные большинством участников публичных слушаний рекомендации для органов местного самоуправления;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предложения и замечания участников публичных слушаний, в том числе поступившие посредством официального сайта Пикалевского городского поселения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(функций)»;</w:t>
      </w:r>
    </w:p>
    <w:p>
      <w:pPr>
        <w:jc w:val="both"/>
        <w:textAlignment w:val="auto"/>
        <w:ind w:firstLine="724" w:left="0" w:right="20" w:start="0" w:end="2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</w:pPr>
      <w:r>
        <w:rPr>
          <w:rFonts w:ascii="Times New Roman" w:eastAsia="Times New Roman" w:hAnsi="Times New Roman" w:cs="Times New Roman"/>
          <w:sz w:val="28"/>
          <w:color w:val="000000"/>
          <w:shd w:fill="ffffff" w:val="clear"/>
        </w:rPr>
        <w:t xml:space="preserve">иные существенные сведения о процедуре публичных слушаний;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 xml:space="preserve">подпись, должность, фамилия и инициалы лиц, подписавших протокол.»;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Абзац третий пункта 5.2 раздела 5 Положения после слов «</w:t>
      </w:r>
      <w:r>
        <w:rPr>
          <w:rFonts w:ascii="Times New Roman" w:eastAsia="Times New Roman" w:hAnsi="Times New Roman" w:cs="Times New Roman"/>
          <w:sz w:val="28"/>
        </w:rPr>
        <w:t xml:space="preserve">информационно-телекоммуникационной сети «Интернет» дополнить словами «, федеральной государственной информационной системы «Единый портал государственных и муниципальных услуг (функций);»;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 xml:space="preserve">Пункт 5.4 раздела 5 Положения после слов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«</w:t>
      </w:r>
      <w:r>
        <w:rPr>
          <w:rFonts w:ascii="Times New Roman" w:eastAsia="Times New Roman" w:hAnsi="Times New Roman" w:cs="Times New Roman"/>
          <w:sz w:val="28"/>
        </w:rPr>
        <w:t xml:space="preserve">информационно-телекоммуникационной сети «Интернет» дополнить словами «и в федеральной государственной информационной системе «Единый портал государственных и муниципальных услуг (функций).»;</w:t>
      </w:r>
    </w:p>
    <w:p>
      <w:pPr>
        <w:jc w:val="both"/>
        <w:textAlignment w:val="auto"/>
        <w:ind w:firstLine="724" w:left="0" w:right="0" w:start="0" w:end="0"/>
        <w:spacing w:after="0" w:line="240"/>
        <w:bidi w:val="false"/>
        <w:numPr>
          <w:ilvl w:val="1"/>
          <w:numId w:val="36"/>
        </w:numPr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Абзац четвертый пункта 6.2 раздела 6 Положения изложить в следующей редакции:</w:t>
      </w:r>
    </w:p>
    <w:p>
      <w:pPr>
        <w:jc w:val="both"/>
        <w:textAlignment w:val="auto"/>
        <w:ind w:firstLine="724" w:left="0" w:right="0" w:start="0" w:end="0"/>
        <w:adjustRightInd w:val="true"/>
        <w:spacing w:after="0" w:line="331" w:lineRule="exact"/>
        <w:bidi w:val="false"/>
        <w:shd w:fill="ffffff" w:val="clear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«1.8. Проект (отчет об исполнении) бюджета одновременно с решением о назначении публичных слушаний по данному проекту публикуется в газете «Рабочее слово» и размещается на официальном сайте Пикалевского городского поселения в информационно-телекоммуникационной сети «Интернет» и в</w:t>
      </w:r>
      <w:r>
        <w:rPr>
          <w:rFonts w:ascii="Times New Roman" w:eastAsia="Times New Roman" w:hAnsi="Times New Roman" w:cs="Times New Roman"/>
          <w:sz w:val="28"/>
        </w:rPr>
        <w:t xml:space="preserve"> федеральной государственной информационной системе «Единый портал государственных и муниципальных услуг (функций).».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color w:val="000000"/>
        </w:rPr>
      </w:pP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2.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outlineLvl w:val="0"/>
        <w:jc w:val="both"/>
        <w:textAlignment w:val="auto"/>
        <w:ind w:firstLine="709" w:left="0" w:right="0" w:start="0" w:end="0"/>
        <w:spacing w:after="0" w:line="240"/>
        <w:bidi w:val="false"/>
        <w:tabs>
          <w:tab w:val="left" w:pos="0"/>
        </w:tabs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3. Настоящее решение вступает в силу после официального опубликования.</w:t>
      </w:r>
    </w:p>
    <w:p>
      <w:pPr>
        <w:jc w:val="left"/>
        <w:textAlignment w:val="auto"/>
        <w:ind w:firstLine="720" w:left="0" w:right="0" w:start="0" w:end="0"/>
        <w:adjustRightInd w:val="true"/>
        <w:spacing w:after="0" w:line="240"/>
        <w:bidi w:val="false"/>
        <w:tabs>
          <w:tab w:val="left" w:pos="126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firstLine="720" w:left="0" w:right="0" w:start="0" w:end="0"/>
        <w:adjustRightInd w:val="true"/>
        <w:spacing w:after="0" w:line="240"/>
        <w:bidi w:val="false"/>
        <w:tabs>
          <w:tab w:val="left" w:pos="126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firstLine="720" w:left="0" w:right="0" w:start="0" w:end="0"/>
        <w:adjustRightInd w:val="true"/>
        <w:spacing w:after="0" w:line="240"/>
        <w:bidi w:val="false"/>
        <w:tabs>
          <w:tab w:val="left" w:pos="1260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type w:val="continuous"/>
      <w:cols w:num="1" w:space="720" w:equalWidth="true"/>
      <w:footnotePr>
        <w:pos w:val="pageBottom"/>
      </w:footnotePr>
      <w:lnNumType w:distance="0"/>
      <w:pgSz w:w="11906" w:h="16838"/>
      <w:pgMar w:left="1418" w:right="567" w:top="1134" w:bottom="1134" w:gutter="0" w:header="0" w:footer="6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ourier New" w:eastAsia="Courier New" w:hAnsi="Courier New" w:cs="Courier New"/>
          <w:sz w:val="24"/>
          <w:color w:val="000000"/>
        </w:rPr>
      </w:pPr>
      <w:r>
        <w:rPr>
          <w:rFonts w:ascii="Courier New" w:eastAsia="Courier New" w:hAnsi="Courier New" w:cs="Courier New"/>
          <w:sz w:val="24"/>
          <w:color w:val="000000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ourier New" w:eastAsia="Courier New" w:hAnsi="Courier New" w:cs="Courier New"/>
          <w:sz w:val="24"/>
          <w:color w:val="000000"/>
        </w:rPr>
      </w:pPr>
      <w:r>
        <w:rPr>
          <w:rFonts w:ascii="Courier New" w:eastAsia="Courier New" w:hAnsi="Courier New" w:cs="Courier New"/>
          <w:sz w:val="24"/>
          <w:color w:val="000000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altName w:val="Courier New"/>
    <w:panose1 w:val="02070309020205020404"/>
    <w:family w:val="modern"/>
    <w:charset w:val="CC"/>
    <w:pitch w:val="fixed"/>
  </w:font>
  <w:font w:name="Cambria Math">
    <w:altName w:val="Palatino Linotype"/>
    <w:panose1 w:val="02040503050406030204"/>
    <w:family w:val="roman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altName w:val="Courier New"/>
    <w:family w:val="modern"/>
    <w:charset w:val="00"/>
    <w:pitch w:val="fixed"/>
  </w:font>
  <w:font w:name="Courier New CE">
    <w:altName w:val="Courier New"/>
    <w:family w:val="modern"/>
    <w:charset w:val="EE"/>
    <w:pitch w:val="fixed"/>
  </w:font>
  <w:font w:name="Courier New Greek">
    <w:altName w:val="Courier New"/>
    <w:family w:val="modern"/>
    <w:charset w:val="A1"/>
    <w:pitch w:val="fixed"/>
  </w:font>
  <w:font w:name="Courier New Tur">
    <w:altName w:val="Courier New"/>
    <w:family w:val="modern"/>
    <w:charset w:val="A2"/>
    <w:pitch w:val="fixed"/>
  </w:font>
  <w:font w:name="Courier New (Hebrew)">
    <w:altName w:val="Courier New"/>
    <w:family w:val="modern"/>
    <w:charset w:val="B1"/>
    <w:pitch w:val="fixed"/>
  </w:font>
  <w:font w:name="Courier New (Arabic)">
    <w:altName w:val="Courier New"/>
    <w:family w:val="modern"/>
    <w:charset w:val="B2"/>
    <w:pitch w:val="fixed"/>
  </w:font>
  <w:font w:name="Courier New Baltic">
    <w:altName w:val="Courier New"/>
    <w:family w:val="modern"/>
    <w:charset w:val="BA"/>
    <w:pitch w:val="fixed"/>
  </w:font>
  <w:font w:name="Courier New (Vietnamese)">
    <w:altName w:val="Courier New"/>
    <w:family w:val="modern"/>
    <w:charset w:val="A3"/>
    <w:pitch w:val="fixed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ourier New" w:eastAsia="Courier New" w:hAnsi="Courier New" w:cs="Courier New"/>
          <w:sz w:val="24"/>
          <w:color w:val="000000"/>
        </w:rPr>
      </w:pPr>
      <w:r>
        <w:rPr>
          <w:rFonts w:ascii="Courier New" w:eastAsia="Courier New" w:hAnsi="Courier New" w:cs="Courier New"/>
          <w:sz w:val="24"/>
          <w:color w:val="000000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ourier New" w:eastAsia="Courier New" w:hAnsi="Courier New" w:cs="Courier New"/>
          <w:sz w:val="24"/>
          <w:color w:val="000000"/>
        </w:rPr>
      </w:pPr>
      <w:r>
        <w:rPr>
          <w:rFonts w:ascii="Courier New" w:eastAsia="Courier New" w:hAnsi="Courier New" w:cs="Courier New"/>
          <w:sz w:val="24"/>
          <w:color w:val="00000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rPr>
        <w:rFonts w:ascii="Courier New" w:eastAsia="Courier New" w:hAnsi="Courier New" w:cs="Courier New"/>
        <w:sz w:val="2"/>
      </w:rPr>
    </w:pPr>
    <w:r>
      <w:pict>
        <v:shape id="_x0000_s2049" type="#_x0000_t202" style="position:absolute;margin-left:296.950012pt;margin-top:36.200001pt;margin-bottom:44.099998pt;margin-right:307.049988pt;width:10.100000pt;height:7.900000pt;mso-position-horizontal-relative:page;mso-position-vertical-relative:page;z-index:251649264;mso-wrap-distance-left:5.000000pt;mso-wrap-distance-right:5.000000pt" o:allowincell="true" filled="f" stroked="f">
          <v:textbox inset="0.00pt,0.00pt,0.00pt,0.00pt">
            <w:txbxContent>
              <w:p>
                <w:pPr>
                  <w:jc w:val="left"/>
                  <w:textAlignment w:val="auto"/>
                  <w:ind w:left="0" w:right="0" w:start="0" w:end="0"/>
                  <w:adjustRightInd w:val="true"/>
                  <w:spacing w:after="0" w:line="240"/>
                  <w:bidi w:val="false"/>
                  <w:rPr>
                    <w:rFonts w:ascii="Times New Roman" w:eastAsia="Times New Roman" w:hAnsi="Times New Roman" w:cs="Times New Roman"/>
                    <w:sz w:val="22"/>
                  </w:rPr>
                </w:pPr>
                <w:fldSimple w:instr="PAGE \* MERGEFORMAT">
                  <w:r>
                    <w:rPr>
                      <w:rFonts w:ascii="Times New Roman" w:eastAsia="Times New Roman" w:hAnsi="Times New Roman" w:cs="Times New Roman"/>
                      <w:sz w:val="22"/>
                      <w:color w:val="000000"/>
                    </w:rPr>
                    <w:t xml:space="preserve">4</w:t>
                  </w:r>
                </w:fldSimple>
              </w:p>
            </w:txbxContent>
          </v:textbox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3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tru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5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7">
    <w:multiLevelType w:val="multilevel"/>
    <w:tmpl w:val="ffffffff"/>
    <w:lvl w:ilvl="0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9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11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13">
    <w:multiLevelType w:val="multilevel"/>
    <w:tmpl w:val="ffffffff"/>
    <w:lvl w:ilvl="0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06.10.%1"/>
      <w:numFmt w:val="decimal"/>
      <w:start w:val="2003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15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17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19">
    <w:multiLevelType w:val="multilevel"/>
    <w:tmpl w:val="ffffffff"/>
    <w:lvl w:ilvl="0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21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23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25">
    <w:multiLevelType w:val="multilevel"/>
    <w:tmpl w:val="ffffffff"/>
    <w:lvl w:ilvl="0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2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27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29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31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33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35">
    <w:multiLevelType w:val="multilevel"/>
    <w:tmpl w:val="ffffffff"/>
    <w:lvl w:ilvl="0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)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37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39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273831167">
    <w:multiLevelType w:val="hybridMultilevel"/>
    <w:tmpl w:val="ffffffff"/>
    <w:lvl w:ilvl="0">
      <w:lvlJc w:val="left"/>
      <w:lvlText w:val="%1."/>
      <w:numFmt w:val="decimal"/>
      <w:start w:val="7"/>
      <w:suff w:val="tab"/>
      <w:pPr>
        <w:ind w:hanging="360" w:left="1065" w:start="1065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5" w:start="1785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5" w:start="2505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5" w:start="3225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5" w:start="3945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5" w:start="4665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5" w:start="5385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5" w:start="6105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5" w:start="6825"/>
      </w:pPr>
      <w:rPr>
        <w:rFonts w:ascii="Times New Roman" w:eastAsia="Times New Roman" w:hAnsi="Times New Roman" w:cs="Times New Roman"/>
        <w:sz w:val="24"/>
      </w:rPr>
    </w:lvl>
  </w:abstractNum>
  <w:abstractNum w:abstractNumId="318001976">
    <w:multiLevelType w:val="hybridMultilevel"/>
    <w:tmpl w:val="ffffffff"/>
    <w:lvl w:ilvl="0">
      <w:lvlJc w:val="left"/>
      <w:lvlText w:val="%1."/>
      <w:numFmt w:val="decimal"/>
      <w:start w:val="5"/>
      <w:suff w:val="tab"/>
      <w:pPr>
        <w:ind w:hanging="360" w:left="1140" w:start="114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60" w:start="186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80" w:start="258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300" w:start="330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020" w:start="402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40" w:start="474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60" w:start="546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80" w:start="618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900" w:start="6900"/>
      </w:pPr>
      <w:rPr>
        <w:rFonts w:ascii="Times New Roman" w:eastAsia="Times New Roman" w:hAnsi="Times New Roman" w:cs="Times New Roman"/>
        <w:sz w:val="24"/>
      </w:rPr>
    </w:lvl>
  </w:abstractNum>
  <w:abstractNum w:abstractNumId="561719087">
    <w:multiLevelType w:val="multilevel"/>
    <w:tmpl w:val="ffffffff"/>
    <w:lvl w:ilvl="0">
      <w:lvlJc w:val="left"/>
      <w:lvlText w:val="%1."/>
      <w:numFmt w:val="decimal"/>
      <w:start w:val="1"/>
      <w:suff w:val="tab"/>
      <w:pPr>
        <w:ind w:hanging="735" w:left="1443" w:start="1443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7525" w:start="752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30" w:start="143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791" w:start="1791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792" w:start="179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153" w:start="2153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514" w:start="251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515" w:start="2515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876" w:start="2876"/>
      </w:pPr>
      <w:rPr>
        <w:rFonts w:ascii="Times New Roman" w:eastAsia="Times New Roman" w:hAnsi="Times New Roman" w:cs="Times New Roman"/>
        <w:sz w:val="24"/>
      </w:rPr>
    </w:lvl>
  </w:abstractNum>
  <w:abstractNum w:abstractNumId="697707160">
    <w:multiLevelType w:val="multilevel"/>
    <w:tmpl w:val="ffffffff"/>
    <w:lvl w:ilvl="0">
      <w:lvlJc w:val="left"/>
      <w:lvlText w:val="%1."/>
      <w:numFmt w:val="decimal"/>
      <w:start w:val="19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  <w:color w:val="000000"/>
      </w:rPr>
    </w:lvl>
    <w:lvl w:ilvl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abstractNum w:abstractNumId="767651821">
    <w:multiLevelType w:val="hybridMultilevel"/>
    <w:tmpl w:val="ffffffff"/>
    <w:lvl w:ilvl="0">
      <w:lvlJc w:val="left"/>
      <w:lvlText w:val="%1."/>
      <w:numFmt w:val="decimal"/>
      <w:start w:val="7"/>
      <w:suff w:val="tab"/>
      <w:pPr>
        <w:ind w:hanging="360" w:left="1140" w:start="114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60" w:start="186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80" w:start="258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300" w:start="330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020" w:start="402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40" w:start="474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60" w:start="546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80" w:start="618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900" w:start="6900"/>
      </w:pPr>
      <w:rPr>
        <w:rFonts w:ascii="Times New Roman" w:eastAsia="Times New Roman" w:hAnsi="Times New Roman" w:cs="Times New Roman"/>
        <w:sz w:val="24"/>
      </w:rPr>
    </w:lvl>
  </w:abstractNum>
  <w:abstractNum w:abstractNumId="881752061">
    <w:multiLevelType w:val="hybridMultilevel"/>
    <w:tmpl w:val="ffffffff"/>
    <w:lvl w:ilvl="0">
      <w:lvlJc w:val="left"/>
      <w:lvlText w:val="%1."/>
      <w:numFmt w:val="decimal"/>
      <w:start w:val="20"/>
      <w:suff w:val="tab"/>
      <w:pPr>
        <w:ind w:hanging="360" w:left="1084" w:start="1084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4" w:start="1804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4" w:start="2524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4" w:start="3244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4" w:start="3964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4" w:start="4684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4" w:start="5404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4" w:start="6124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4" w:start="6844"/>
      </w:pPr>
      <w:rPr>
        <w:rFonts w:ascii="Times New Roman" w:eastAsia="Times New Roman" w:hAnsi="Times New Roman" w:cs="Times New Roman"/>
        <w:sz w:val="24"/>
      </w:rPr>
    </w:lvl>
  </w:abstractNum>
  <w:abstractNum w:abstractNumId="918945896">
    <w:multiLevelType w:val="multilevel"/>
    <w:tmpl w:val="ffffffff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6"/>
        <w:i w:val="false"/>
        <w:smallCaps w:val="false"/>
        <w:strike w:val="false"/>
        <w:color w:val="000000"/>
        <w:position w:val="0"/>
      </w:rPr>
    </w:lvl>
  </w:abstractNum>
  <w:abstractNum w:abstractNumId="944461867">
    <w:multiLevelType w:val="hybridMultilevel"/>
    <w:tmpl w:val="ffffffff"/>
    <w:lvl w:ilvl="0">
      <w:lvlJc w:val="left"/>
      <w:lvlText w:val="%1."/>
      <w:numFmt w:val="decimal"/>
      <w:start w:val="18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abstractNum w:abstractNumId="1438602604">
    <w:multiLevelType w:val="hybridMultilevel"/>
    <w:tmpl w:val="ffffffff"/>
    <w:lvl w:ilvl="0">
      <w:lvlJc w:val="left"/>
      <w:lvlText w:val="%1."/>
      <w:numFmt w:val="decimal"/>
      <w:start w:val="14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  <w:color w:val="000000"/>
      </w:rPr>
    </w:lvl>
    <w:lvl w:ilvl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442607081">
    <w:multiLevelType w:val="hybridMultilevel"/>
    <w:tmpl w:val="ffffffff"/>
    <w:lvl w:ilvl="0">
      <w:lvlJc w:val="left"/>
      <w:lvlText w:val="%1."/>
      <w:numFmt w:val="decimal"/>
      <w:start w:val="3"/>
      <w:suff w:val="tab"/>
      <w:pPr>
        <w:ind w:hanging="1455" w:left="2175" w:start="2175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abstractNum w:abstractNumId="1799687295">
    <w:multiLevelType w:val="hybridMultilevel"/>
    <w:tmpl w:val="ffffffff"/>
    <w:lvl w:ilvl="0">
      <w:lvlJc w:val="left"/>
      <w:lvlText w:val="%1."/>
      <w:numFmt w:val="decimal"/>
      <w:start w:val="5"/>
      <w:suff w:val="tab"/>
      <w:pPr>
        <w:ind w:hanging="360" w:left="1065" w:start="1065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5" w:start="1785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5" w:start="2505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5" w:start="3225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5" w:start="3945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5" w:start="4665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5" w:start="5385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5" w:start="6105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5" w:start="6825"/>
      </w:pPr>
      <w:rPr>
        <w:rFonts w:ascii="Times New Roman" w:eastAsia="Times New Roman" w:hAnsi="Times New Roman" w:cs="Times New Roman"/>
        <w:sz w:val="24"/>
      </w:rPr>
    </w:lvl>
  </w:abstractNum>
  <w:abstractNum w:abstractNumId="1903444048">
    <w:multiLevelType w:val="hybridMultilevel"/>
    <w:tmpl w:val="ffffffff"/>
    <w:lvl w:ilvl="0">
      <w:lvlJc w:val="left"/>
      <w:lvlText w:val="%1."/>
      <w:numFmt w:val="decimal"/>
      <w:start w:val="7"/>
      <w:suff w:val="tab"/>
      <w:pPr>
        <w:ind w:hanging="360" w:left="1065" w:start="1065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5" w:start="1785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5" w:start="2505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5" w:start="3225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5" w:start="3945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5" w:start="4665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5" w:start="5385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5" w:start="6105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5" w:start="6825"/>
      </w:pPr>
      <w:rPr>
        <w:rFonts w:ascii="Times New Roman" w:eastAsia="Times New Roman" w:hAnsi="Times New Roman" w:cs="Times New Roman"/>
        <w:sz w:val="24"/>
      </w:rPr>
    </w:lvl>
  </w:abstractNum>
  <w:abstractNum w:abstractNumId="1931431177">
    <w:multiLevelType w:val="hybridMultilevel"/>
    <w:tmpl w:val="ffffffff"/>
    <w:lvl w:ilvl="0">
      <w:lvlJc w:val="left"/>
      <w:lvlText w:val="%1."/>
      <w:numFmt w:val="decimal"/>
      <w:start w:val="2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800" w:start="180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520" w:start="252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3960" w:start="396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680" w:start="468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120" w:start="6120"/>
      </w:pPr>
      <w:rPr>
        <w:rFonts w:ascii="Times New Roman" w:eastAsia="Times New Roman" w:hAnsi="Times New Roman" w:cs="Times New Roman"/>
        <w:sz w:val="24"/>
      </w:rPr>
    </w:lvl>
  </w:abstractNum>
  <w:abstractNum w:abstractNumId="1954359935">
    <w:multiLevelType w:val="hybridMultilevel"/>
    <w:tmpl w:val="ffffffff"/>
    <w:lvl w:ilvl="0">
      <w:lvlJc w:val="left"/>
      <w:lvlText w:val="%1."/>
      <w:numFmt w:val="decimal"/>
      <w:start w:val="7"/>
      <w:suff w:val="tab"/>
      <w:pPr>
        <w:ind w:hanging="360" w:left="1065" w:start="1065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5" w:start="1785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5" w:start="2505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5" w:start="3225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5" w:start="3945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5" w:start="4665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5" w:start="5385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5" w:start="6105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5" w:start="6825"/>
      </w:pPr>
      <w:rPr>
        <w:rFonts w:ascii="Times New Roman" w:eastAsia="Times New Roman" w:hAnsi="Times New Roman" w:cs="Times New Roman"/>
        <w:sz w:val="24"/>
      </w:rPr>
    </w:lvl>
  </w:abstractNum>
  <w:abstractNum w:abstractNumId="2109229682">
    <w:multiLevelType w:val="hybridMultilevel"/>
    <w:tmpl w:val="ffffffff"/>
    <w:lvl w:ilvl="0">
      <w:lvlJc w:val="left"/>
      <w:lvlText w:val="%1."/>
      <w:numFmt w:val="decimal"/>
      <w:start w:val="15"/>
      <w:suff w:val="tab"/>
      <w:pPr>
        <w:ind w:hanging="360" w:left="1446" w:start="1446"/>
      </w:pPr>
      <w:rPr>
        <w:rFonts w:ascii="Times New Roman" w:eastAsia="Times New Roman" w:hAnsi="Times New Roman" w:cs="Times New Roman"/>
        <w:sz w:val="28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2145542605">
    <w:multiLevelType w:val="hybridMultilevel"/>
    <w:tmpl w:val="ffffffff"/>
    <w:lvl w:ilvl="0">
      <w:lvlJc w:val="left"/>
      <w:lvlText w:val="%1."/>
      <w:numFmt w:val="decimal"/>
      <w:start w:val="7"/>
      <w:suff w:val="tab"/>
      <w:pPr>
        <w:ind w:hanging="360" w:left="1140" w:start="114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60" w:start="186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80" w:start="258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300" w:start="330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020" w:start="402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40" w:start="474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60" w:start="546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80" w:start="618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900" w:start="690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13"/>
  </w:num>
  <w:num w:numId="8">
    <w:abstractNumId w:val="15"/>
  </w:num>
  <w:num w:numId="9">
    <w:abstractNumId w:val="17"/>
  </w:num>
  <w:num w:numId="10">
    <w:abstractNumId w:val="19"/>
  </w:num>
  <w:num w:numId="11">
    <w:abstractNumId w:val="21"/>
  </w:num>
  <w:num w:numId="12">
    <w:abstractNumId w:val="23"/>
  </w:num>
  <w:num w:numId="13">
    <w:abstractNumId w:val="25"/>
  </w:num>
  <w:num w:numId="14">
    <w:abstractNumId w:val="27"/>
  </w:num>
  <w:num w:numId="15">
    <w:abstractNumId w:val="29"/>
  </w:num>
  <w:num w:numId="16">
    <w:abstractNumId w:val="31"/>
  </w:num>
  <w:num w:numId="17">
    <w:abstractNumId w:val="33"/>
  </w:num>
  <w:num w:numId="18">
    <w:abstractNumId w:val="35"/>
  </w:num>
  <w:num w:numId="19">
    <w:abstractNumId w:val="37"/>
  </w:num>
  <w:num w:numId="20">
    <w:abstractNumId w:val="39"/>
  </w:num>
  <w:num w:numId="21">
    <w:abstractNumId w:val="1442607081"/>
  </w:num>
  <w:num w:numId="22">
    <w:abstractNumId w:val="1931431177"/>
  </w:num>
  <w:num w:numId="23">
    <w:abstractNumId w:val="1438602604"/>
  </w:num>
  <w:num w:numId="24">
    <w:abstractNumId w:val="944461867"/>
  </w:num>
  <w:num w:numId="25">
    <w:abstractNumId w:val="697707160"/>
  </w:num>
  <w:num w:numId="26">
    <w:abstractNumId w:val="881752061"/>
  </w:num>
  <w:num w:numId="27">
    <w:abstractNumId w:val="918945896"/>
  </w:num>
  <w:num w:numId="28">
    <w:abstractNumId w:val="318001976"/>
  </w:num>
  <w:num w:numId="29">
    <w:abstractNumId w:val="1799687295"/>
  </w:num>
  <w:num w:numId="30">
    <w:abstractNumId w:val="767651821"/>
  </w:num>
  <w:num w:numId="31">
    <w:abstractNumId w:val="2145542605"/>
  </w:num>
  <w:num w:numId="32">
    <w:abstractNumId w:val="1954359935"/>
  </w:num>
  <w:num w:numId="33">
    <w:abstractNumId w:val="1903444048"/>
  </w:num>
  <w:num w:numId="34">
    <w:abstractNumId w:val="273831167"/>
  </w:num>
  <w:num w:numId="35">
    <w:abstractNumId w:val="2109229682"/>
  </w:num>
  <w:num w:numId="36">
    <w:abstractNumId w:val="561719087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20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isplayBackgroundShape xmlns:w="http://schemas.openxmlformats.org/wordprocessingml/2006/main" w:val="tru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1330</TotalTime>
  <Pages>3</Pages>
  <Words>818</Words>
  <Characters>4665</Characters>
  <CharactersWithSpaces>5473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РЯЗАНСКАЯ  ОБЛАСТЬ</dc:title>
  <dc:creator>Чистяков</dc:creator>
</cp:coreProperties>
</file>