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 февраля 2024 года № 3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Совета депутатов от 28 февраля 2013 года №13 «Об утверждении Методики определения величины арендной платы за пользование имуществом, находящимся в собственности муниципального образования Пикалевское городское поселение Бокситогорского муниципального района Ленинградской области»</w:t>
      </w:r>
    </w:p>
    <w:p>
      <w:pPr>
        <w:jc w:val="center"/>
        <w:textAlignment w:val="auto"/>
        <w:ind w:left="426" w:right="0" w:start="42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426" w:right="0" w:start="42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10" w:left="0" w:right="-2" w:start="0" w:end="-2"/>
        <w:adjustRightInd w:val="true"/>
        <w:spacing w:after="0" w:line="240"/>
        <w:bidi w:val="false"/>
        <w:tabs>
          <w:tab w:val="left" w:pos="709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Рассмотрев обращение НО «Фонд поддержки предпринимательства МО «Город Пикалево» от 12 декабря 2023 года №116, на основании Устава муниципального образования Пикалевское городское поселение Бокситогорского муниципального района Ленинградской области, в целях повышения эффективности использования муниципального имущества, Совет депутатов решил:</w:t>
      </w:r>
    </w:p>
    <w:p>
      <w:pPr>
        <w:jc w:val="both"/>
        <w:textAlignment w:val="auto"/>
        <w:ind w:firstLine="709" w:left="0" w:right="-2" w:start="0" w:end="-2"/>
        <w:adjustRightInd w:val="true"/>
        <w:spacing w:after="0" w:line="240"/>
        <w:bidi w:val="false"/>
        <w:numPr>
          <w:ilvl w:val="0"/>
          <w:numId w:val="1"/>
        </w:numPr>
        <w:tabs>
          <w:tab w:val="left" w:pos="709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Внести следующие изменения в решение Совета депутатов от 28 февраля 2013 года №13 «Об утверждении Методики определения величины арендной платы за пользование имуществом, находящимся в собственности муниципального образования Пикалевское городское поселение Бокситогорского муниципального района Ленинградской области» (с изменениями, внесенными решениями от 27 июня 2013 года №38, от 22 мая 2014 года №27, от 20 ноября 2014 года №19, от 25 ноября 2014 года №24, от 24 декабря 2015 года №85, от 24 ноября 2016 года №68, от 26 октября 2017 года №47, от 28 июня 2018 года №45, от 25 апреля 2019 года №31, от 18 июня 2020 года №44, от 20 мая 2021 года №25, от 03 февраля 2022 года №1, от 20 декабря 2022 года №87, от 31 января 2023 года №5):</w:t>
      </w:r>
    </w:p>
    <w:p>
      <w:pPr>
        <w:jc w:val="both"/>
        <w:textAlignment w:val="auto"/>
        <w:ind w:left="709" w:right="-2" w:start="709" w:end="-2"/>
        <w:adjustRightInd w:val="true"/>
        <w:spacing w:after="0" w:line="240"/>
        <w:bidi w:val="false"/>
        <w:tabs>
          <w:tab w:val="left" w:pos="709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 Дополнить Методику пунктом 5.3 следующего содержания:</w:t>
      </w:r>
    </w:p>
    <w:p>
      <w:pPr>
        <w:jc w:val="both"/>
        <w:textAlignment w:val="auto"/>
        <w:ind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«5.3. С целью поддержки субъектов малого и среднего предпринимательства и физических лиц, применяющих специальный налоговый режим «Налог на профессиональный доход» (резиденты бизнес-инкубатора), при расчете арендной платы в помещениях Некоммерческой организации «Фонд поддержки предпринимательства МО «Город Пикалево» применяется коэффициент типа деятельности (Ктд) равным значению – 2».</w:t>
      </w:r>
    </w:p>
    <w:p>
      <w:pPr>
        <w:jc w:val="both"/>
        <w:textAlignment w:val="auto"/>
        <w:ind w:firstLine="709"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Настоящее решение подлежит опубликованию в газете «Рабочее слово» и размещению на официальном сайте Пикалевского городского поселения.</w:t>
      </w:r>
    </w:p>
    <w:p>
      <w:pPr>
        <w:jc w:val="both"/>
        <w:textAlignment w:val="auto"/>
        <w:ind w:firstLine="709"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Решение вступает в силу после официального опубликования.</w:t>
      </w:r>
    </w:p>
    <w:p>
      <w:pPr>
        <w:jc w:val="both"/>
        <w:textAlignment w:val="auto"/>
        <w:ind w:firstLine="709"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Контроль за исполнением данного решения возложить на главу администрации Пикалевского городского поселения.</w:t>
      </w:r>
    </w:p>
    <w:p>
      <w:pPr>
        <w:jc w:val="both"/>
        <w:textAlignment w:val="auto"/>
        <w:ind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Л.И. Гришкина</w:t>
      </w:r>
    </w:p>
    <w:p>
      <w:pPr>
        <w:jc w:val="both"/>
        <w:textAlignment w:val="auto"/>
        <w:ind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2" w:start="0" w:end="-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</w:t>
      </w: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-352" w:start="0" w:end="-352"/>
        <w:adjustRightInd w:val="true"/>
        <w:spacing w:after="0" w:line="240"/>
        <w:bidi w:val="false"/>
        <w:tabs>
          <w:tab w:val="left" w:pos="142"/>
        </w:tabs>
        <w:rPr>
          <w:rFonts w:ascii="Calibri" w:eastAsia="Calibri" w:hAnsi="Calibri" w:cs="Calibri"/>
          <w:sz w:val="22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Segoe UI">
    <w:panose1 w:val="00000000000000000000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altName w:val="Arial"/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altName w:val="Arial"/>
    <w:family w:val="swiss"/>
    <w:charset w:val="00"/>
    <w:pitch w:val="variable"/>
  </w:font>
  <w:font w:name="Calibri Light CE">
    <w:altName w:val="Arial"/>
    <w:family w:val="swiss"/>
    <w:charset w:val="EE"/>
    <w:pitch w:val="variable"/>
  </w:font>
  <w:font w:name="Calibri Light Greek">
    <w:altName w:val="Arial"/>
    <w:family w:val="swiss"/>
    <w:charset w:val="A1"/>
    <w:pitch w:val="variable"/>
  </w:font>
  <w:font w:name="Calibri Light Tur">
    <w:altName w:val="Arial"/>
    <w:family w:val="swiss"/>
    <w:charset w:val="A2"/>
    <w:pitch w:val="variable"/>
  </w:font>
  <w:font w:name="Calibri Light (Hebrew)">
    <w:altName w:val="Arial"/>
    <w:family w:val="swiss"/>
    <w:charset w:val="B1"/>
    <w:pitch w:val="variable"/>
  </w:font>
  <w:font w:name="Calibri Light (Arabic)">
    <w:altName w:val="Arial"/>
    <w:family w:val="swiss"/>
    <w:charset w:val="B2"/>
    <w:pitch w:val="variable"/>
  </w:font>
  <w:font w:name="Calibri Light Baltic">
    <w:altName w:val="Arial"/>
    <w:family w:val="swiss"/>
    <w:charset w:val="BA"/>
    <w:pitch w:val="variable"/>
  </w:font>
  <w:font w:name="Calibri Light (Vietnamese)">
    <w:altName w:val="Arial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2"/>
      </w:rPr>
    </w:pPr>
    <w:fldSimple w:instr="PAGE   \* MERGEFORMAT">
      <w:r>
        <w:rPr>
          <w:rFonts w:ascii="Times New Roman" w:eastAsia="Times New Roman" w:hAnsi="Times New Roman" w:cs="Times New Roman"/>
          <w:sz w:val="22"/>
        </w:rPr>
        <w:t xml:space="preserve">2</w:t>
      </w:r>
    </w:fldSimple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55129315">
    <w:multiLevelType w:val="multilevel"/>
    <w:tmpl w:val="aab2f99a"/>
    <w:lvl w:ilvl="0">
      <w:lvlJc w:val="left"/>
      <w:lvlText w:val="%1."/>
      <w:numFmt w:val="decimal"/>
      <w:start w:val="1"/>
      <w:suff w:val="tab"/>
      <w:pPr>
        <w:ind w:hanging="360" w:left="1110" w:start="111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"/>
      <w:numFmt w:val="decimal"/>
      <w:start w:val="1"/>
      <w:suff w:val="tab"/>
      <w:pPr>
        <w:ind w:hanging="375" w:left="1125" w:start="1125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"/>
      <w:numFmt w:val="decimal"/>
      <w:start w:val="1"/>
      <w:suff w:val="tab"/>
      <w:pPr>
        <w:ind w:hanging="720" w:left="1470" w:start="147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"/>
      <w:numFmt w:val="decimal"/>
      <w:start w:val="1"/>
      <w:suff w:val="tab"/>
      <w:pPr>
        <w:ind w:hanging="1080" w:left="1830" w:start="183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"/>
      <w:numFmt w:val="decimal"/>
      <w:start w:val="1"/>
      <w:suff w:val="tab"/>
      <w:pPr>
        <w:ind w:hanging="1080" w:left="1830" w:start="183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"/>
      <w:numFmt w:val="decimal"/>
      <w:start w:val="1"/>
      <w:suff w:val="tab"/>
      <w:pPr>
        <w:ind w:hanging="1440" w:left="2190" w:start="219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"/>
      <w:numFmt w:val="decimal"/>
      <w:start w:val="1"/>
      <w:suff w:val="tab"/>
      <w:pPr>
        <w:ind w:hanging="1440" w:left="2190" w:start="219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"/>
      <w:numFmt w:val="decimal"/>
      <w:start w:val="1"/>
      <w:suff w:val="tab"/>
      <w:pPr>
        <w:ind w:hanging="1800" w:left="2550" w:start="255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"/>
      <w:numFmt w:val="decimal"/>
      <w:start w:val="1"/>
      <w:suff w:val="tab"/>
      <w:pPr>
        <w:ind w:hanging="2160" w:left="2910" w:start="291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55129315"/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3</TotalTime>
  <Pages>2</Pages>
  <Words>375</Words>
  <Characters>2144</Characters>
  <CharactersWithSpaces>2514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Лугинина Виктория</dc:creator>
</cp:coreProperties>
</file>