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5" Type="http://schemas.openxmlformats.org/officeDocument/2006/relationships/extended-properties" Target="docProps/app.xml"/><Relationship Id="rId16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  <w:r>
        <w:rPr>
          <w:spacing w:val="-1"/>
          <w:rFonts w:ascii="Times New Roman" w:eastAsia="Times New Roman" w:hAnsi="Times New Roman" w:cs="Times New Roman"/>
          <w:sz w:val="28"/>
        </w:rPr>
        <w:t xml:space="preserve">от 15 сентября 2022 года № 66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</w:t>
      </w:r>
    </w:p>
    <w:p>
      <w:pPr>
        <w:jc w:val="center"/>
        <w:textAlignment w:val="auto"/>
        <w:ind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от 26 октября 2017 года № 50 «Об утверждении Правил благоустройства территории Пикалевского городского поселения»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851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письмом Комитета по жилищно-коммунальному хозяйству администрации Ленинградской области от 20 июля 2022 года №ис-3926/2022, Уставом Пикалевского городского поселения, а также в целях улучшения благоустройства, поддержания и улучшения эстетического состояния территории Пикалевского городского поселения, Совет депутатов решил:</w:t>
      </w:r>
    </w:p>
    <w:p>
      <w:pPr>
        <w:jc w:val="both"/>
        <w:textAlignment w:val="auto"/>
        <w:ind w:firstLine="851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Внести изменения в решение Совета депутатов от 26 октября 2017 года № 50 «Об утверждении Правил благоустройства территории Пикалевского городского поселения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(с изменениями от 19.08.2021 № 44, от 03.02.2022 № 3), согласно приложению.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опубликовать в газете «Рабочее слово» и разместить на официальном сайте муниципального образования.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Настоящее решение вступает в силу со дня его официального опубликования.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Контроль за исполнением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contextualSpacing w:val="true"/>
        <w:bidi w:val="false"/>
        <w:tabs>
          <w:tab w:val="left" w:pos="0"/>
          <w:tab w:val="left" w:pos="3705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contextualSpacing w:val="true"/>
        <w:bidi w:val="false"/>
        <w:tabs>
          <w:tab w:val="left" w:pos="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contextualSpacing w:val="true"/>
        <w:bidi w:val="false"/>
        <w:tabs>
          <w:tab w:val="left" w:pos="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к решению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Совета депутатов 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15 сентября 2022 года № 66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Изменения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в Правила благоустройства территории муниципального образования Пикалевское городское поселение 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             </w:t>
      </w:r>
      <w:r>
        <w:rPr>
          <w:rFonts w:ascii="Times New Roman" w:eastAsia="Times New Roman" w:hAnsi="Times New Roman" w:cs="Times New Roman"/>
          <w:sz w:val="28"/>
        </w:rPr>
        <w:t xml:space="preserve">(далее – Правила)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Дополнить раздел 2 пунктом 15 следующего содержания: </w:t>
      </w:r>
    </w:p>
    <w:p>
      <w:pPr>
        <w:jc w:val="center"/>
        <w:textAlignment w:val="auto"/>
        <w:ind w:left="0" w:right="0" w:start="0" w:end="0"/>
        <w:adjustRightInd w:val="true"/>
        <w:spacing w:before="120" w:after="12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«15. ОРГАНИЗАЦИЯ ПЕШЕХОДНЫХ КОММУНИКАЦИЙ, В ТОМ ЧИСЛЕ ТРОТУАРОВ, АЛЛЕЙ, ДОРОЖЕК, ТРОПИНОК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15.1. Пешеходные коммуникации обеспечивают пешеходные связи и передвижение на территории муниципального образования. К пешеходным коммуникациям относят тротуары, аллеи, дорожки, тропинки. В системе пешеходных коммуникаций выделяют основные и второстепенные пешеходные коммуникации.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15.2. Основные пешеходные коммуникации направлены на обеспечение связи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на связь между основными пунктами тяготения в составе общественных зон и объектов рекреации.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15.2.1. Все точки пересечения основных пешеходных коммуникаций с транспортными проездами оснащаются устройствами бордюрных пандусов.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15.2.2. При создании пешеходных коммуникаций (лестниц, пандусов, мостиков) необходимо обеспечивать соблюдение равновеликой пропускной способности указанных элементов.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15.2.3. Перечень элементов благоустройства на территории основных пешеходных коммуникаций включает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15.3. Второстепенные пешеходные коммуникации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парк, лесопарк).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15.3.1. Перечень элементов благоустройства на территории второстепенных пешеходных коммуникаций включает различные виды покрытия. На дорожках скверов, бульваров необходимо предусматривать твердые виды покрытия с элементами сопряжения. На дорожках крупных рекреационных объектов (парков) необходимо предусматривать различные виды мягкого или комбинированных покрытий, пешеходные тропы с естественным грунтовым покрытием.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15.4. При создании и благоустройстве пешеходных коммуникаций на территории муниципального образования должны быть обеспечены:</w:t>
      </w:r>
    </w:p>
    <w:p>
      <w:pPr>
        <w:jc w:val="both"/>
        <w:textAlignment w:val="baseline"/>
        <w:ind w:hanging="360" w:left="720" w:right="0" w:start="720" w:end="0"/>
        <w:adjustRightInd w:val="true"/>
        <w:spacing w:after="0" w:line="240"/>
        <w:bidi w:val="false"/>
        <w:numPr>
          <w:ilvl w:val="0"/>
          <w:numId w:val="46"/>
        </w:numPr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минимальное количество пересечений с транспортными коммуникациями;</w:t>
      </w:r>
    </w:p>
    <w:p>
      <w:pPr>
        <w:jc w:val="both"/>
        <w:textAlignment w:val="baseline"/>
        <w:ind w:hanging="360" w:left="720" w:right="0" w:start="720" w:end="0"/>
        <w:adjustRightInd w:val="true"/>
        <w:spacing w:after="0" w:line="240"/>
        <w:bidi w:val="false"/>
        <w:numPr>
          <w:ilvl w:val="0"/>
          <w:numId w:val="46"/>
        </w:numPr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непрерывность системы пешеходных коммуникаций;</w:t>
      </w:r>
    </w:p>
    <w:p>
      <w:pPr>
        <w:jc w:val="both"/>
        <w:textAlignment w:val="baseline"/>
        <w:ind w:hanging="360" w:left="720" w:right="0" w:start="720" w:end="0"/>
        <w:adjustRightInd w:val="true"/>
        <w:spacing w:after="0" w:line="240"/>
        <w:bidi w:val="false"/>
        <w:numPr>
          <w:ilvl w:val="0"/>
          <w:numId w:val="46"/>
        </w:numPr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возможность безопасного, беспрепятственного и удобного передвижения людей, включая инвалидов и маломобильные группы населения;</w:t>
      </w:r>
    </w:p>
    <w:p>
      <w:pPr>
        <w:jc w:val="both"/>
        <w:textAlignment w:val="baseline"/>
        <w:ind w:hanging="360" w:left="720" w:right="0" w:start="720" w:end="0"/>
        <w:adjustRightInd w:val="true"/>
        <w:spacing w:after="0" w:line="240"/>
        <w:bidi w:val="false"/>
        <w:numPr>
          <w:ilvl w:val="0"/>
          <w:numId w:val="46"/>
        </w:numPr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высокий уровень благоустройства и озеленения.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15.5. Пешеходные маршруты следует обеспечивать освещением и озеленять в соответствии с требованиями, установленными настоящими Правилами.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15.6. При планировочной организации пешеходных тротуаров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сопровождающих, а также специально оборудованные места для маломобильных групп населения в соответствии с требованиями СП 59.13330.2020.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15.7. Перед проектированием пешеходных тротуаров должна быть составлена карта фактических пешеходных маршрутов со схемами движения пешеходных маршрутов, соединяющих основные точки притяжения людей.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15.8. Исходя из схемы движения пешеходных потоков по маршрутам на территории муниципального образования выделяются участки по следующим типам: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15.8.1. Образованные при проектировании микрорайона и созданные в том числе застройщиком.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15.8.2. Стихийно образованные вследствие движения пешеходов по оптимальным для них маршрутам и используемые постоянно.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15.8.3. Стихийно образованные вследствие движения пешеходов по оптимальным для них маршрутам и неиспользуемые в настоящее время.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15.9. В составе комплекса работ по благоустройству пешеходных коммуникаций проводится осмотр действующих и заброшенных пешеходных маршрутов и инвентаризация бесхозных объектов.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В отношении участков, предусмотренных в подпункте 15.8.2 пункта 15.8, проводится осмотр, после чего осуществляется комфортное для населения сопряжение с первым типом участков.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В отношении участков, предусмотренных в подпункте 15.8.3 пункта 15.8, проводятся оценка на предмет наличия опасных и (или) бесхозных объектов, работы по очистке территории от них, а при необходимости - закрытие доступа населения к опасным и (или) бесхозным объектам.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15.10. В случае выявления потребности в более высоком уровне безопасности и комфорта для пешеходов на уже сложившихся пешеходных маршрутах возможен перенос пешеходных переходов и создание искусственных препятствий для использования пешеходами опасных маршрутов.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15.11. При организации пешеходных коммуникаций необходимо учитывать интенсивность пешеходных потоков в различное время суток, особенно в зонах, прилегающих к объектам транспортной инфраструктуры, где целесообразно организовать разделение пешеходных потоков.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15.12. При создании пешеходных тротуаров необходимо учитывать следующее: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15.12.1. Пешеходные тротуары должны обеспечивать непрерывность связей пешеходных и транспортных путей, а также свободный доступ к объектам массового притяжения, в том числе объектам транспортной инфраструктуры.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15.12.2. Исходя из текущих планировочных решений по транспортным путям необходимо осуществлять проектирование пешеходных тротуаров с минимальным числом пересечений с проезжей частью дорог и пересечений массовых пешеходных потоков.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15.13. Покрытие пешеходных дорожек должно быть удобным при ходьбе и устойчивым к износу. Пешеходные дорожки и тротуары в составе активно используемых общественных пространств необходимо предусматривать шириной, позволяющей избежать образования толпы.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15.14. Пешеходные маршруты в составе общественных пространств необходимо предусматривать хорошо просматриваемыми на всем протяжении из окон жилых домов.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15.15. Количество элементов благоустройства пешеходных маршрутов (скамейки, урны и другие МАФ) должно определяться с учетом интенсивности пешеходного движения.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При планировании пешеходных маршрутов следует предусматривать создание мест для кратковременного отдыха (скамейки, МАФ, урны и озеленение) для маломобильных групп населения.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15.16. Организация транзитных зон.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15.16.1. На тротуарах с активным потоком пешеходов муниципальную мебель необходимо располагать в порядке, способствующем свободному движению пешеходов.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15.17. Организация пешеходных зон.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15.17.1. Пешеходные зоны являются не только пешеходными коммуникациями, но также общественными пространствами, что определяет режим их использования.</w:t>
      </w:r>
    </w:p>
    <w:p>
      <w:pPr>
        <w:jc w:val="both"/>
        <w:textAlignment w:val="baseline"/>
        <w:ind w:firstLine="709" w:left="0" w:right="0" w:start="0" w:end="0"/>
        <w:adjustRightInd w:val="true"/>
        <w:spacing w:after="0" w:line="263" w:lineRule="atLeast"/>
        <w:bidi w:val="false"/>
        <w:shd w:fill="ffffff" w:val="clear"/>
        <w:rPr>
          <w:spacing w:val="2"/>
          <w:rFonts w:ascii="Times New Roman" w:eastAsia="Times New Roman" w:hAnsi="Times New Roman" w:cs="Times New Roman"/>
          <w:sz w:val="28"/>
        </w:rPr>
      </w:pPr>
      <w:r>
        <w:rPr>
          <w:spacing w:val="2"/>
          <w:rFonts w:ascii="Times New Roman" w:eastAsia="Times New Roman" w:hAnsi="Times New Roman" w:cs="Times New Roman"/>
          <w:sz w:val="28"/>
        </w:rPr>
        <w:t xml:space="preserve">15.17.2. Благоустройство пешеходной зоны (пешеходных тротуаров и велосипедных дорожек) должно предусматривать пребывания в ней населения и доступность для маломобильных групп населения.»</w:t>
      </w:r>
    </w:p>
    <w:p>
      <w:pPr>
        <w:jc w:val="both"/>
        <w:textAlignment w:val="auto"/>
        <w:ind w:hanging="360" w:left="1069" w:right="0" w:start="1069" w:end="0"/>
        <w:adjustRightInd w:val="true"/>
        <w:spacing w:after="0" w:line="240"/>
        <w:bidi w:val="false"/>
        <w:numPr>
          <w:ilvl w:val="0"/>
          <w:numId w:val="40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Дополнить раздел 2 пунктом 16 следующего содержания: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«16. 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ОБУСТРОЙСТВО ТЕРРИТОРИИ В ЦЕЛЯХ БЕСПРЕПЯТСТВЕННОГО ПЕРЕДВИЖЕНИЯ ИНВАЛИДОВ И ДРУГИХ МАЛОМОБИЛЬНЫХ ГРУПП НАСЕЛЕНИЯ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16.1. При проектировании благоустройства жилой среды, улиц, дорог, объектов культурно-бытового обслуживания необходимо обеспечить доступность городской среды для людей с ограниченными возможностями и других маломобильных групп населения, имея в виду оснащение этих объектов элементами и техническими средствами, способствующими передвижению людей с ограниченными возможностями и других маломобильных групп населения (специально оборудованные пешеходные пути, пандусы, места на остановках общественного транспорта и автостоянках, поручни, ограждения, приспособления и иные элементы и технические средства, способствующие передвижению инвалидов и других маломобильных групп населения). Проектирование, строительство, установка технических средств и оборудования, способствующих передвижению инвалидов и других маломобильных групп населения, осуществляется при новом строительстве заказчиком в соответствии с утвержденной проектной документацией, предусматривающей непрерывность пешеходных и транспортных путей, обеспечивающих доступ инвалидов и маломобильных лиц в здания.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16.2. В соответствии со </w:t>
      </w:r>
      <w:hyperlink r:id="rId3">
        <w:r>
          <w:rPr>
            <w:rFonts w:ascii="Times New Roman" w:eastAsia="Times New Roman" w:hAnsi="Times New Roman" w:cs="Times New Roman"/>
            <w:sz w:val="28"/>
          </w:rPr>
          <w:t xml:space="preserve">сводом правил</w:t>
        </w:r>
      </w:hyperlink>
      <w:r>
        <w:rPr>
          <w:rFonts w:ascii="Times New Roman" w:eastAsia="Times New Roman" w:hAnsi="Times New Roman" w:cs="Times New Roman"/>
          <w:sz w:val="28"/>
        </w:rPr>
        <w:t xml:space="preserve"> по проектированию и строительству (СП 35-105-2002) «Реконструкция городской застройки с учетом доступности для инвалидов и других маломобильных групп населения», одобренным </w:t>
      </w:r>
      <w:hyperlink r:id="rId4">
        <w:r>
          <w:rPr>
            <w:rFonts w:ascii="Times New Roman" w:eastAsia="Times New Roman" w:hAnsi="Times New Roman" w:cs="Times New Roman"/>
            <w:sz w:val="28"/>
          </w:rPr>
          <w:t xml:space="preserve">постановлением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Госстроя Российской Федерации от 19.07.2002 № 89, необходимо предусматривать создание равных с другими гражданами условий для полноценного участия в жизни общества лиц, имеющих стойкие расстройства функций организма, обусловленных заболеваниями, последствиями травм или иными расстройствами здоровья, инвалидов с поражением опорно-двигательного аппарата, недостатками зрения и дефектами слуха, а также других категорий инвалидов и других маломобильных групп населения.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16.3. Проектирование, строительство, установка технических средств и оборудования, способствующих передвижению инвалидов и других маломобильных групп населения, осуществляется:</w:t>
      </w:r>
    </w:p>
    <w:p>
      <w:pPr>
        <w:jc w:val="both"/>
        <w:textAlignment w:val="auto"/>
        <w:ind w:hanging="360" w:left="720" w:right="0" w:start="720" w:end="0"/>
        <w:adjustRightInd w:val="true"/>
        <w:spacing w:after="0" w:line="240"/>
        <w:bidi w:val="false"/>
        <w:numPr>
          <w:ilvl w:val="0"/>
          <w:numId w:val="47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новом строительстве заказчиком в соответствии с утвержденной проектной документацией;</w:t>
      </w:r>
    </w:p>
    <w:p>
      <w:pPr>
        <w:jc w:val="both"/>
        <w:textAlignment w:val="auto"/>
        <w:ind w:hanging="360" w:left="720" w:right="0" w:start="720" w:end="0"/>
        <w:adjustRightInd w:val="true"/>
        <w:spacing w:after="0" w:line="240"/>
        <w:bidi w:val="false"/>
        <w:numPr>
          <w:ilvl w:val="0"/>
          <w:numId w:val="47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условиях сложившейся застройки - собственниками зданий, сооружений, технических средств и оборудования с учетом действующего законодательства.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16.4. При проектировании объектов благоустройства, улиц и дорог, объектов культурно-бытового обслуживания предусматривается доступность среды населенных пунктов для инвалидов и других маломобильных групп населения, оснащение этих объектов элементами и техническими средствами, способствующими передвижению указанных лиц в соответствии с нормами действующего законодательства.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Проектные решения по обеспечению доступности инвалидам и маломобильным группам населения городской среды, реконструкции сложившейся застройки должны учитывать физические возможности всех категорий указанных лиц и быть направлены на повышение качества городской среды, обеспечивать безбарьерный каркас территории, должны основываться на принципах универсального дизайна и обеспечивать: равенство в использовании городской среды всеми категориями населения; гибкость в использовании и возможность выбора всеми категориями населения способов передвижения; простоту, легкость и интуитивность понимания предоставляемой о городских объектах и территориях информации, выделение главной информации; возможность восприятия информации и минимальность возникновения опасностей и ошибок восприятия информации.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16.5. При проектировании новых, реконструкции существующих, а также подлежащих капитальному ремонту зданий и сооружений такие объекты подлежат полному приспособлению для нужд инвалидов и других маломобильных групп населения.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невозможности при реконструкции, капитальном ремонте зданий и сооружений полного приспособления объекта для нужд инвалидов и других маломобильных групп населения следует осуществлять проектирование архитектурно-строительных, инженерно-технических решений и организационные мероприятия по адаптации объектов в рамках разумного приспособления в понятии, определенном действующим законодательством и применимыми нормами международного права.».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first" r:id="rId6"/>
      <w:headerReference w:type="default" r:id="rId7"/>
      <w:footerReference w:type="even" r:id="rId8"/>
      <w:footerReference w:type="default" r:id="rId9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panose1 w:val="02070309020205020404"/>
    <w:family w:val="modern"/>
    <w:charset w:val="CC"/>
    <w:pitch w:val="fixed"/>
  </w:font>
  <w:font w:name="Symbol">
    <w:panose1 w:val="05050102010706020507"/>
    <w:family w:val="roman"/>
    <w:charset w:val="02"/>
    <w:pitch w:val="variable"/>
  </w:font>
  <w:font w:name="Wingdings">
    <w:panose1 w:val="05000000000000000000"/>
    <w:family w:val="auto"/>
    <w:charset w:val="02"/>
    <w:pitch w:val="variable"/>
  </w:font>
  <w:font w:name="SimSun">
    <w:altName w:val="?§Ю-?§Ю?§Ф?§Ю??§ЮЎм§Ч"/>
    <w:panose1 w:val="02010600030101010101"/>
    <w:family w:val="auto"/>
    <w:charset w:val="86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@SimSun">
    <w:panose1 w:val="02010600030101010101"/>
    <w:family w:val="auto"/>
    <w:charset w:val="86"/>
    <w:pitch w:val="variable"/>
  </w:font>
  <w:font w:name="Verdana">
    <w:panose1 w:val="020b0604030504040204"/>
    <w:family w:val="swiss"/>
    <w:charset w:val="CC"/>
    <w:pitch w:val="variable"/>
  </w:font>
  <w:font w:name="JournalRub">
    <w:altName w:val="Arial"/>
    <w:panose1 w:val="00000000000000000000"/>
    <w:family w:val="swiss"/>
    <w:charset w:val="00"/>
    <w:pitch w:val="default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family w:val="modern"/>
    <w:charset w:val="00"/>
    <w:pitch w:val="fixed"/>
  </w:font>
  <w:font w:name="Courier New CE">
    <w:family w:val="modern"/>
    <w:charset w:val="EE"/>
    <w:pitch w:val="fixed"/>
  </w:font>
  <w:font w:name="Courier New Greek">
    <w:family w:val="modern"/>
    <w:charset w:val="A1"/>
    <w:pitch w:val="fixed"/>
  </w:font>
  <w:font w:name="Courier New Tur">
    <w:family w:val="modern"/>
    <w:charset w:val="A2"/>
    <w:pitch w:val="fixed"/>
  </w:font>
  <w:font w:name="Courier New (Hebrew)">
    <w:family w:val="modern"/>
    <w:charset w:val="B1"/>
    <w:pitch w:val="fixed"/>
  </w:font>
  <w:font w:name="Courier New (Arabic)">
    <w:family w:val="modern"/>
    <w:charset w:val="B2"/>
    <w:pitch w:val="fixed"/>
  </w:font>
  <w:font w:name="Courier New Baltic">
    <w:family w:val="modern"/>
    <w:charset w:val="BA"/>
    <w:pitch w:val="fixed"/>
  </w:font>
  <w:font w:name="Courier New (Vietnamese)">
    <w:family w:val="modern"/>
    <w:charset w:val="A3"/>
    <w:pitch w:val="fixed"/>
  </w:font>
  <w:font w:name="SimSun Western">
    <w:altName w:val="?§Ю-?§Ю?§Ф?§Ю??§ЮЎм§Ч"/>
    <w:family w:val="auto"/>
    <w:charset w:val="00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@SimSun Western">
    <w:family w:val="auto"/>
    <w:charset w:val="00"/>
    <w:pitch w:val="variable"/>
  </w:font>
  <w:font w:name="Verdana">
    <w:family w:val="swiss"/>
    <w:charset w:val="00"/>
    <w:pitch w:val="variable"/>
  </w:font>
  <w:font w:name="Verdana CE">
    <w:family w:val="swiss"/>
    <w:charset w:val="EE"/>
    <w:pitch w:val="variable"/>
  </w:font>
  <w:font w:name="Verdana Greek">
    <w:family w:val="swiss"/>
    <w:charset w:val="A1"/>
    <w:pitch w:val="variable"/>
  </w:font>
  <w:font w:name="Verdana Tur">
    <w:family w:val="swiss"/>
    <w:charset w:val="A2"/>
    <w:pitch w:val="variable"/>
  </w:font>
  <w:font w:name="Verdana Baltic">
    <w:family w:val="swiss"/>
    <w:charset w:val="BA"/>
    <w:pitch w:val="variable"/>
  </w:font>
  <w:font w:name="Verdana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textAlignment w:val="auto"/>
      <w:ind w:left="0" w:right="0" w:start="0" w:end="0"/>
      <w:adjustRightInd w:val="true"/>
      <w:spacing w:after="0" w:line="240"/>
      <w:bidi w:val="false"/>
      <w:framePr w:hAnchor="margin" w:xAlign="right" w:vAnchor="text" w:y="0" w:wrap="around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"/>
  </w:p>
  <w:p>
    <w:pPr>
      <w:jc w:val="left"/>
      <w:textAlignment w:val="auto"/>
      <w:ind w:left="0" w:right="360" w:start="0" w:end="36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textAlignment w:val="auto"/>
      <w:ind w:left="0" w:right="360" w:start="0" w:end="36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4"/>
        </w:rPr>
        <w:t xml:space="preserve">6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-125">
    <w:multiLevelType w:val="singleLevel"/>
    <w:tmpl w:val="949a8112"/>
    <w:lvl w:ilvl="0">
      <w:lvlJc w:val="left"/>
      <w:lvlText w:val=""/>
      <w:numFmt w:val="bullet"/>
      <w:start w:val="1"/>
      <w:suff w:val="tab"/>
      <w:pPr>
        <w:ind w:hanging="360" w:left="643" w:start="643"/>
      </w:pPr>
      <w:rPr>
        <w:rFonts w:ascii="Symbol" w:eastAsia="Symbol" w:hAnsi="Symbol" w:cs="Symbol"/>
        <w:sz w:val="24"/>
      </w:rPr>
    </w:lvl>
  </w:abstractNum>
  <w:abstractNum w:abstractNumId="-119">
    <w:multiLevelType w:val="singleLevel"/>
    <w:tmpl w:val="268ae894"/>
    <w:lvl w:ilvl="0">
      <w:lvlJc w:val="left"/>
      <w:lvlText w:val=""/>
      <w:numFmt w:val="bullet"/>
      <w:start w:val="1"/>
      <w:suff w:val="tab"/>
      <w:pPr>
        <w:ind w:hanging="360" w:left="360" w:start="360"/>
      </w:pPr>
      <w:rPr>
        <w:rFonts w:ascii="Symbol" w:eastAsia="Symbol" w:hAnsi="Symbol" w:cs="Symbol"/>
        <w:sz w:val="24"/>
      </w:rPr>
    </w:lvl>
  </w:abstractNum>
  <w:abstractNum w:abstractNumId="1">
    <w:multiLevelType w:val="multilevel"/>
    <w:tmpl w:val="92e27342"/>
    <w:lvl w:ilvl="0">
      <w:lvlJc w:val="left"/>
      <w:lvlText w:val="%1."/>
      <w:numFmt w:val="decimal"/>
      <w:start w:val="3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</w:abstractNum>
  <w:abstractNum w:abstractNumId="3">
    <w:multiLevelType w:val="multilevel"/>
    <w:tmpl w:val="2"/>
    <w:lvl w:ilvl="0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1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2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3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4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5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6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7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8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</w:abstractNum>
  <w:abstractNum w:abstractNumId="361634253">
    <w:multiLevelType w:val="hybridMultilevel"/>
    <w:tmpl w:val="f2984be0"/>
    <w:lvl w:ilvl="0">
      <w:lvlJc w:val="left"/>
      <w:lvlText w:val="%1)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1440" w:start="144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160" w:start="216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2880" w:start="288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600" w:start="360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320" w:start="432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040" w:start="504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5760" w:start="576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480" w:start="6480"/>
      </w:pPr>
      <w:rPr>
        <w:rFonts w:ascii="Wingdings" w:eastAsia="Wingdings" w:hAnsi="Wingdings" w:cs="Wingdings"/>
        <w:sz w:val="24"/>
      </w:rPr>
    </w:lvl>
  </w:abstractNum>
  <w:abstractNum w:abstractNumId="411706282">
    <w:multiLevelType w:val="hybridMultilevel"/>
    <w:tmpl w:val="ce5e7a20"/>
    <w:lvl w:ilvl="0">
      <w:lvlJc w:val="left"/>
      <w:lvlText w:val="%1)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1440" w:start="144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160" w:start="216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2880" w:start="288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600" w:start="360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320" w:start="432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040" w:start="504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5760" w:start="576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480" w:start="6480"/>
      </w:pPr>
      <w:rPr>
        <w:rFonts w:ascii="Wingdings" w:eastAsia="Wingdings" w:hAnsi="Wingdings" w:cs="Wingdings"/>
        <w:sz w:val="24"/>
      </w:rPr>
    </w:lvl>
  </w:abstractNum>
  <w:abstractNum w:abstractNumId="502621249">
    <w:multiLevelType w:val="hybridMultilevel"/>
    <w:tmpl w:val="d1aec146"/>
    <w:lvl w:ilvl="0">
      <w:lvlJc w:val="left"/>
      <w:lvlText w:val="-"/>
      <w:numFmt w:val="bullet"/>
      <w:start w:val="1"/>
      <w:suff w:val="tab"/>
      <w:pPr>
        <w:ind w:left="1126" w:start="112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  <w:lvl w:ilvl="1">
      <w:lvlJc w:val="left"/>
      <w:lvlText w:val="o"/>
      <w:numFmt w:val="bullet"/>
      <w:start w:val="1"/>
      <w:suff w:val="tab"/>
      <w:pPr>
        <w:ind w:left="2016" w:start="201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  <w:lvl w:ilvl="2">
      <w:lvlJc w:val="left"/>
      <w:lvlText w:val="▪"/>
      <w:numFmt w:val="bullet"/>
      <w:start w:val="1"/>
      <w:suff w:val="tab"/>
      <w:pPr>
        <w:ind w:left="2736" w:start="273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  <w:lvl w:ilvl="3">
      <w:lvlJc w:val="left"/>
      <w:lvlText w:val="•"/>
      <w:numFmt w:val="bullet"/>
      <w:start w:val="1"/>
      <w:suff w:val="tab"/>
      <w:pPr>
        <w:ind w:left="3456" w:start="345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  <w:lvl w:ilvl="4">
      <w:lvlJc w:val="left"/>
      <w:lvlText w:val="o"/>
      <w:numFmt w:val="bullet"/>
      <w:start w:val="1"/>
      <w:suff w:val="tab"/>
      <w:pPr>
        <w:ind w:left="4176" w:start="417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  <w:lvl w:ilvl="5">
      <w:lvlJc w:val="left"/>
      <w:lvlText w:val="▪"/>
      <w:numFmt w:val="bullet"/>
      <w:start w:val="1"/>
      <w:suff w:val="tab"/>
      <w:pPr>
        <w:ind w:left="4896" w:start="489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  <w:lvl w:ilvl="6">
      <w:lvlJc w:val="left"/>
      <w:lvlText w:val="•"/>
      <w:numFmt w:val="bullet"/>
      <w:start w:val="1"/>
      <w:suff w:val="tab"/>
      <w:pPr>
        <w:ind w:left="5616" w:start="561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  <w:lvl w:ilvl="7">
      <w:lvlJc w:val="left"/>
      <w:lvlText w:val="o"/>
      <w:numFmt w:val="bullet"/>
      <w:start w:val="1"/>
      <w:suff w:val="tab"/>
      <w:pPr>
        <w:ind w:left="6336" w:start="633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  <w:lvl w:ilvl="8">
      <w:lvlJc w:val="left"/>
      <w:lvlText w:val="▪"/>
      <w:numFmt w:val="bullet"/>
      <w:start w:val="1"/>
      <w:suff w:val="tab"/>
      <w:pPr>
        <w:ind w:left="7056" w:start="7056"/>
      </w:pPr>
      <w:rPr>
        <w:b w:val="false"/>
        <w:rFonts w:ascii="Times New Roman" w:eastAsia="Times New Roman" w:hAnsi="Times New Roman" w:cs="Times New Roman"/>
        <w:sz w:val="42"/>
        <w:i w:val="false"/>
        <w:strike w:val="false"/>
        <w:dstrike w:val="false"/>
        <w:color w:val="000000"/>
      </w:rPr>
    </w:lvl>
  </w:abstractNum>
  <w:abstractNum w:abstractNumId="1181434976">
    <w:multiLevelType w:val="hybridMultilevel"/>
    <w:tmpl w:val="febabffc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b w:val="false"/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267613128">
    <w:multiLevelType w:val="hybridMultilevel"/>
    <w:tmpl w:val="b348551c"/>
    <w:lvl w:ilvl="0">
      <w:lvlJc w:val="left"/>
      <w:lvlText w:val="-"/>
      <w:numFmt w:val="bullet"/>
      <w:start w:val="1"/>
      <w:suff w:val="tab"/>
      <w:pPr>
        <w:ind w:left="240" w:start="24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  <w:lvl w:ilvl="1">
      <w:lvlJc w:val="left"/>
      <w:lvlText w:val="o"/>
      <w:numFmt w:val="bullet"/>
      <w:start w:val="1"/>
      <w:suff w:val="tab"/>
      <w:pPr>
        <w:ind w:left="1080" w:start="108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  <w:lvl w:ilvl="2">
      <w:lvlJc w:val="left"/>
      <w:lvlText w:val="▪"/>
      <w:numFmt w:val="bullet"/>
      <w:start w:val="1"/>
      <w:suff w:val="tab"/>
      <w:pPr>
        <w:ind w:left="1800" w:start="180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  <w:lvl w:ilvl="3">
      <w:lvlJc w:val="left"/>
      <w:lvlText w:val="•"/>
      <w:numFmt w:val="bullet"/>
      <w:start w:val="1"/>
      <w:suff w:val="tab"/>
      <w:pPr>
        <w:ind w:left="2520" w:start="252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  <w:lvl w:ilvl="4">
      <w:lvlJc w:val="left"/>
      <w:lvlText w:val="o"/>
      <w:numFmt w:val="bullet"/>
      <w:start w:val="1"/>
      <w:suff w:val="tab"/>
      <w:pPr>
        <w:ind w:left="3240" w:start="324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  <w:lvl w:ilvl="5">
      <w:lvlJc w:val="left"/>
      <w:lvlText w:val="▪"/>
      <w:numFmt w:val="bullet"/>
      <w:start w:val="1"/>
      <w:suff w:val="tab"/>
      <w:pPr>
        <w:ind w:left="3960" w:start="396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  <w:lvl w:ilvl="6">
      <w:lvlJc w:val="left"/>
      <w:lvlText w:val="•"/>
      <w:numFmt w:val="bullet"/>
      <w:start w:val="1"/>
      <w:suff w:val="tab"/>
      <w:pPr>
        <w:ind w:left="4680" w:start="468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  <w:lvl w:ilvl="7">
      <w:lvlJc w:val="left"/>
      <w:lvlText w:val="o"/>
      <w:numFmt w:val="bullet"/>
      <w:start w:val="1"/>
      <w:suff w:val="tab"/>
      <w:pPr>
        <w:ind w:left="5400" w:start="540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  <w:lvl w:ilvl="8">
      <w:lvlJc w:val="left"/>
      <w:lvlText w:val="▪"/>
      <w:numFmt w:val="bullet"/>
      <w:start w:val="1"/>
      <w:suff w:val="tab"/>
      <w:pPr>
        <w:ind w:left="6120" w:start="6120"/>
      </w:pPr>
      <w:rPr>
        <w:b w:val="false"/>
        <w:rFonts w:ascii="Times New Roman" w:eastAsia="Times New Roman" w:hAnsi="Times New Roman" w:cs="Times New Roman"/>
        <w:sz w:val="54"/>
        <w:i w:val="false"/>
        <w:strike w:val="false"/>
        <w:dstrike w:val="false"/>
        <w:color w:val="000000"/>
      </w:rPr>
    </w:lvl>
  </w:abstractNum>
  <w:abstractNum w:abstractNumId="1504585861">
    <w:multiLevelType w:val="hybridMultilevel"/>
    <w:tmpl w:val="3cca92ec"/>
    <w:lvl w:ilvl="0">
      <w:lvlJc w:val="left"/>
      <w:lvlText w:val=""/>
      <w:numFmt w:val="bullet"/>
      <w:start w:val="1"/>
      <w:suff w:val="tab"/>
      <w:pPr>
        <w:ind w:hanging="360" w:left="720" w:start="720"/>
      </w:pPr>
      <w:rPr>
        <w:rFonts w:ascii="Symbol" w:eastAsia="Symbol" w:hAnsi="Symbol" w:cs="Symbol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1440" w:start="144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160" w:start="216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2880" w:start="288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600" w:start="360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320" w:start="432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040" w:start="504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5760" w:start="576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480" w:start="6480"/>
      </w:pPr>
      <w:rPr>
        <w:rFonts w:ascii="Wingdings" w:eastAsia="Wingdings" w:hAnsi="Wingdings" w:cs="Wingdings"/>
        <w:sz w:val="24"/>
      </w:rPr>
    </w:lvl>
  </w:abstractNum>
  <w:abstractNum w:abstractNumId="1743680069">
    <w:multiLevelType w:val="hybridMultilevel"/>
    <w:tmpl w:val="9f28648a"/>
    <w:lvl w:ilvl="0">
      <w:lvlJc w:val="left"/>
      <w:lvlText w:val="%1."/>
      <w:numFmt w:val="decimal"/>
      <w:start w:val="1"/>
      <w:suff w:val="tab"/>
      <w:pPr>
        <w:ind w:hanging="360" w:left="1069" w:start="1069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9" w:start="1789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9" w:start="2509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9" w:start="3229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9" w:start="3949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9" w:start="4669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9" w:start="5389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9" w:start="6109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9" w:start="6829"/>
      </w:pPr>
      <w:rPr>
        <w:rFonts w:ascii="Times New Roman" w:eastAsia="Times New Roman" w:hAnsi="Times New Roman" w:cs="Times New Roman"/>
        <w:sz w:val="24"/>
      </w:rPr>
    </w:lvl>
  </w:abstractNum>
  <w:abstractNum w:abstractNumId="1763181529">
    <w:multiLevelType w:val="hybridMultilevel"/>
    <w:tmpl w:val="7d6e8cea"/>
    <w:lvl w:ilvl="0">
      <w:lvlJc w:val="left"/>
      <w:lvlText w:val=""/>
      <w:numFmt w:val="bullet"/>
      <w:start w:val="1"/>
      <w:suff w:val="tab"/>
      <w:pPr>
        <w:ind w:hanging="360" w:left="720" w:start="720"/>
      </w:pPr>
      <w:rPr>
        <w:rFonts w:ascii="Symbol" w:eastAsia="Symbol" w:hAnsi="Symbol" w:cs="Symbol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1440" w:start="144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160" w:start="216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2880" w:start="288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600" w:start="360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320" w:start="432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040" w:start="504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5760" w:start="576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480" w:start="6480"/>
      </w:pPr>
      <w:rPr>
        <w:rFonts w:ascii="Wingdings" w:eastAsia="Wingdings" w:hAnsi="Wingdings" w:cs="Wingdings"/>
        <w:sz w:val="24"/>
      </w:rPr>
    </w:lvl>
  </w:abstractNum>
  <w:abstractNum w:abstractNumId="1805999360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8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970934902">
    <w:multiLevelType w:val="hybridMultilevel"/>
    <w:tmpl w:val="e04ed4ce"/>
    <w:lvl w:ilvl="0">
      <w:lvlJc w:val="left"/>
      <w:lvlText w:val="%1."/>
      <w:numFmt w:val="decimal"/>
      <w:start w:val="4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20" w:start="252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40" w:start="324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60" w:start="396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80" w:start="468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00" w:start="540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20" w:start="612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40" w:start="6840"/>
      </w:pPr>
      <w:rPr>
        <w:rFonts w:ascii="Times New Roman" w:eastAsia="Times New Roman" w:hAnsi="Times New Roman" w:cs="Times New Roman"/>
        <w:sz w:val="24"/>
      </w:rPr>
    </w:lvl>
  </w:abstractNum>
  <w:abstractNum w:abstractNumId="2014994736">
    <w:multiLevelType w:val="hybridMultilevel"/>
    <w:tmpl w:val="9f28648a"/>
    <w:lvl w:ilvl="0">
      <w:lvlJc w:val="left"/>
      <w:lvlText w:val="%1."/>
      <w:numFmt w:val="decimal"/>
      <w:start w:val="1"/>
      <w:suff w:val="tab"/>
      <w:pPr>
        <w:ind w:hanging="360" w:left="1069" w:start="1069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9" w:start="1789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9" w:start="2509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9" w:start="3229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9" w:start="3949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9" w:start="4669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9" w:start="5389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9" w:start="6109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9" w:start="6829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-119"/>
  </w:num>
  <w:num w:numId="2">
    <w:abstractNumId w:val="-125"/>
  </w:num>
  <w:num w:numId="3">
    <w:abstractNumId w:val="-119"/>
  </w:num>
  <w:num w:numId="4">
    <w:abstractNumId w:val="-125"/>
  </w:num>
  <w:num w:numId="5">
    <w:abstractNumId w:val="-119"/>
  </w:num>
  <w:num w:numId="6">
    <w:abstractNumId w:val="-125"/>
  </w:num>
  <w:num w:numId="7">
    <w:abstractNumId w:val="-119"/>
  </w:num>
  <w:num w:numId="8">
    <w:abstractNumId w:val="-125"/>
  </w:num>
  <w:num w:numId="9">
    <w:abstractNumId w:val="-119"/>
  </w:num>
  <w:num w:numId="10">
    <w:abstractNumId w:val="-125"/>
  </w:num>
  <w:num w:numId="11">
    <w:abstractNumId w:val="-119"/>
  </w:num>
  <w:num w:numId="12">
    <w:abstractNumId w:val="-125"/>
  </w:num>
  <w:num w:numId="13">
    <w:abstractNumId w:val="-119"/>
  </w:num>
  <w:num w:numId="14">
    <w:abstractNumId w:val="-125"/>
  </w:num>
  <w:num w:numId="15">
    <w:abstractNumId w:val="-119"/>
  </w:num>
  <w:num w:numId="16">
    <w:abstractNumId w:val="-125"/>
  </w:num>
  <w:num w:numId="17">
    <w:abstractNumId w:val="-119"/>
  </w:num>
  <w:num w:numId="18">
    <w:abstractNumId w:val="-125"/>
  </w:num>
  <w:num w:numId="19">
    <w:abstractNumId w:val="-119"/>
  </w:num>
  <w:num w:numId="20">
    <w:abstractNumId w:val="-125"/>
  </w:num>
  <w:num w:numId="21">
    <w:abstractNumId w:val="-119"/>
  </w:num>
  <w:num w:numId="22">
    <w:abstractNumId w:val="-125"/>
  </w:num>
  <w:num w:numId="23">
    <w:abstractNumId w:val="-119"/>
  </w:num>
  <w:num w:numId="24">
    <w:abstractNumId w:val="-125"/>
  </w:num>
  <w:num w:numId="25">
    <w:abstractNumId w:val="-119"/>
  </w:num>
  <w:num w:numId="26">
    <w:abstractNumId w:val="-125"/>
  </w:num>
  <w:num w:numId="27">
    <w:abstractNumId w:val="-119"/>
  </w:num>
  <w:num w:numId="28">
    <w:abstractNumId w:val="-125"/>
  </w:num>
  <w:num w:numId="29">
    <w:abstractNumId w:val="-119"/>
  </w:num>
  <w:num w:numId="30">
    <w:abstractNumId w:val="-125"/>
  </w:num>
  <w:num w:numId="31">
    <w:abstractNumId w:val="-119"/>
  </w:num>
  <w:num w:numId="32">
    <w:abstractNumId w:val="-125"/>
  </w:num>
  <w:num w:numId="33">
    <w:abstractNumId w:val="-119"/>
  </w:num>
  <w:num w:numId="34">
    <w:abstractNumId w:val="-125"/>
  </w:num>
  <w:num w:numId="35">
    <w:abstractNumId w:val="1805999360"/>
  </w:num>
  <w:num w:numId="36">
    <w:abstractNumId w:val="1181434976"/>
  </w:num>
  <w:num w:numId="37">
    <w:abstractNumId w:val="1970934902"/>
  </w:num>
  <w:num w:numId="38">
    <w:abstractNumId w:val="1"/>
  </w:num>
  <w:num w:numId="39">
    <w:abstractNumId w:val="3"/>
  </w:num>
  <w:num w:numId="40">
    <w:abstractNumId w:val="1743680069"/>
  </w:num>
  <w:num w:numId="41">
    <w:abstractNumId w:val="1267613128"/>
  </w:num>
  <w:num w:numId="42">
    <w:abstractNumId w:val="502621249"/>
  </w:num>
  <w:num w:numId="43">
    <w:abstractNumId w:val="2014994736"/>
  </w:num>
  <w:num w:numId="44">
    <w:abstractNumId w:val="1763181529"/>
  </w:num>
  <w:num w:numId="45">
    <w:abstractNumId w:val="1504585861"/>
  </w:num>
  <w:num w:numId="46">
    <w:abstractNumId w:val="411706282"/>
  </w:num>
  <w:num w:numId="47">
    <w:abstractNumId w:val="361634253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yperlink" Target="consultantplus://offline/ref=42A2A1711EAED91593B42A9B4FB0102C798AF7FDF24CE877675C9C9D1F2E7AA476BE6B804565A3A74355F6WEL" TargetMode="External"/><Relationship Id="rId4" Type="http://schemas.openxmlformats.org/officeDocument/2006/relationships/hyperlink" Target="consultantplus://offline/ref=42A2A1711EAED91593B42A9B4FB0102C7A88F8F1AF46E02E6B5E9B92402B6FB52EB26B9F5B67BFBB41576DF8WBL" TargetMode="Externa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numbering" Target="numbering.xml"/><Relationship Id="rId13" Type="http://schemas.openxmlformats.org/officeDocument/2006/relationships/styles" Target="styles.xml"/><Relationship Id="rId14" Type="http://schemas.openxmlformats.org/officeDocument/2006/relationships/fontTable" Target="fontTable.xml"/><Relationship Id="rId1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6</TotalTime>
  <Pages>6</Pages>
  <Words>1897</Words>
  <Characters>10813</Characters>
  <CharactersWithSpaces>12685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подготовлен: Лебедевой Ю</dc:title>
  <dc:creator>Admin</dc:creator>
</cp:coreProperties>
</file>