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1" Type="http://schemas.openxmlformats.org/officeDocument/2006/relationships/extended-properties" Target="docProps/app.xml"/><Relationship Id="rId1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134"/>
          <w:tab w:val="left" w:pos="1276"/>
        </w:tabs>
        <w:rPr>
          <w:rFonts w:ascii="Times New Roman" w:eastAsia="Times New Roman" w:hAnsi="Times New Roman" w:cs="Times New Roman"/>
          <w:sz w:val="24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outlineLvl w:val="0"/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  <w:r>
        <w:rPr>
          <w:spacing w:val="-1"/>
          <w:rFonts w:ascii="Times New Roman" w:eastAsia="Times New Roman" w:hAnsi="Times New Roman" w:cs="Times New Roman"/>
          <w:sz w:val="28"/>
        </w:rPr>
        <w:t xml:space="preserve">от 19 августа 2021 года № 44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 Совета депутатов МО «Город Пикалево» </w:t>
      </w:r>
    </w:p>
    <w:p>
      <w:pPr>
        <w:jc w:val="center"/>
        <w:textAlignment w:val="auto"/>
        <w:ind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от 26 октября 2017 года № 50 «Об утверждении Правил благоустройства территории МО «Город Пикалево»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обеспечения исполнения пп. «а» п. 10 поручения Президента Российской Федерации № Пр-754 от 30.04.2019, руководствуясь                               СП 476.1325800.2020 «Территории городских и сельских поселений. Правила планировки, застройки и благоустройства жилых микрорайонов», приказом Минстроя России № 897/пр, Минспорта № 1128 от 27.12.2019 «Об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инфраструктуры» (ред. от 28.06.2021), СанПиНом 2.2.1/2.1.1.1200-03 «</w:t>
      </w:r>
      <w:r>
        <w:rPr>
          <w:rFonts w:ascii="Times New Roman" w:eastAsia="Times New Roman" w:hAnsi="Times New Roman" w:cs="Times New Roman"/>
          <w:sz w:val="28"/>
          <w:shd w:fill="ffffff" w:val="clear"/>
        </w:rPr>
        <w:t xml:space="preserve">Санитарно-защитные зоны и</w:t>
      </w:r>
      <w:r>
        <w:rPr>
          <w:rFonts w:ascii="Times New Roman" w:eastAsia="Times New Roman" w:hAnsi="Times New Roman" w:cs="Times New Roman"/>
          <w:sz w:val="28"/>
          <w:shd w:fill="ffffff" w:val="clear"/>
        </w:rPr>
        <w:t xml:space="preserve"> </w:t>
      </w:r>
      <w:r>
        <w:rPr>
          <w:rFonts w:ascii="Times New Roman" w:eastAsia="Times New Roman" w:hAnsi="Times New Roman" w:cs="Times New Roman"/>
          <w:sz w:val="28"/>
          <w:shd w:fill="ffffff" w:val="clear"/>
        </w:rPr>
        <w:t xml:space="preserve">санитарная</w:t>
      </w:r>
      <w:r>
        <w:rPr>
          <w:rFonts w:ascii="Times New Roman" w:eastAsia="Times New Roman" w:hAnsi="Times New Roman" w:cs="Times New Roman"/>
          <w:sz w:val="28"/>
          <w:shd w:fill="ffffff" w:val="clear"/>
        </w:rPr>
        <w:t xml:space="preserve"> </w:t>
      </w:r>
      <w:r>
        <w:rPr>
          <w:rFonts w:ascii="Times New Roman" w:eastAsia="Times New Roman" w:hAnsi="Times New Roman" w:cs="Times New Roman"/>
          <w:sz w:val="28"/>
          <w:shd w:fill="ffffff" w:val="clear"/>
        </w:rPr>
        <w:t xml:space="preserve">классификация предприятий, сооружений и иных объектов» (ред. от 25.04.2014), Федеральным законом от 06.10.2003 № 131-ФЗ «Об общих принципах организации предоставления государственных и муниципальных услуг» (ред. от 01.07.2021), </w:t>
      </w:r>
      <w:r>
        <w:rPr>
          <w:rFonts w:ascii="Times New Roman" w:eastAsia="Times New Roman" w:hAnsi="Times New Roman" w:cs="Times New Roman"/>
          <w:sz w:val="28"/>
        </w:rPr>
        <w:t xml:space="preserve">Совет депутатов Пикалевского городского поселения решил:</w:t>
      </w:r>
    </w:p>
    <w:p>
      <w:pPr>
        <w:jc w:val="both"/>
        <w:textAlignment w:val="auto"/>
        <w:ind w:firstLine="709"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b w:val="true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Внести в решение Совета депутатов МО «Город Пикалево» от 26 октября 2017 года № 50 «Об утверждении Правил благоустройства территории МО «Город Пикалево» изменения, согласно приложению.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Настоящее решение опубликовать в газете «Рабочее слово» и разместить на официальном сайте муниципального образования.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Настоящее решение вступает в силу со дня его официального опубликования.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Контроль за исполнением решения возложить на главу администрации МО «Город Пикалево».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Л.И. Гришкина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contextualSpacing w:val="true"/>
        <w:bidi w:val="false"/>
        <w:tabs>
          <w:tab w:val="left" w:pos="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contextualSpacing w:val="true"/>
        <w:bidi w:val="false"/>
        <w:tabs>
          <w:tab w:val="left" w:pos="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к решению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Совета депутатов 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19 августа 2021 года № 44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Изменения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в Правила благоустройства территории муниципального образования «Город Пикалево» Бокситогорского района Ленинградской области             </w:t>
      </w:r>
      <w:r>
        <w:rPr>
          <w:rFonts w:ascii="Times New Roman" w:eastAsia="Times New Roman" w:hAnsi="Times New Roman" w:cs="Times New Roman"/>
          <w:sz w:val="28"/>
        </w:rPr>
        <w:t xml:space="preserve">(далее – Правила)</w:t>
      </w:r>
    </w:p>
    <w:p>
      <w:pPr>
        <w:jc w:val="both"/>
        <w:textAlignment w:val="auto"/>
        <w:ind w:firstLine="709"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В наименовании решения и далее по тексту Правил в соответствующем падеже заменить слова «МО «Город Пикалево» на слова «Пикалевского городского поселения».</w:t>
      </w:r>
    </w:p>
    <w:p>
      <w:pPr>
        <w:jc w:val="both"/>
        <w:textAlignment w:val="auto"/>
        <w:ind w:firstLine="709"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В наименовании приложения и далее по тексту Правил в соответствующем падеже заменить слова «муниципального образования «Город Пикалево» Бокситогорского района Ленинградской области» на слова «муниципального образования Пикалевское городское поселение Бокситогорского муниципального района Ленинградской области».</w:t>
      </w:r>
    </w:p>
    <w:p>
      <w:pPr>
        <w:jc w:val="both"/>
        <w:textAlignment w:val="auto"/>
        <w:ind w:firstLine="709"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Пункт 3.1 Правил изложить в следующей редакции:</w:t>
      </w:r>
    </w:p>
    <w:p>
      <w:pPr>
        <w:jc w:val="both"/>
        <w:textAlignment w:val="auto"/>
        <w:ind w:firstLine="709"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«3.1. </w:t>
      </w:r>
      <w:r>
        <w:rPr>
          <w:spacing w:val="2"/>
          <w:rFonts w:ascii="Times New Roman" w:eastAsia="Times New Roman" w:hAnsi="Times New Roman" w:cs="Times New Roman"/>
          <w:sz w:val="28"/>
        </w:rPr>
        <w:t xml:space="preserve">Благоустройство прилегающих территорий осуществляется собственниками зданий, строений, сооружений, помещений в них, нестационарных торговых объектов, нестационарных объектов бытового обслуживания, иных законных владельцев,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домов), а в отношении строящихся объектов капитального строительства (строительных объектов) - застройщиками. Перечень работ по благоустройству и периодичность их выполнения в отношении прилегающих территорий определяются в соответствии с общими требованиями к перечню работ по благоустройству и периодичности их выполнения, установленными настоящими Правилами.»;</w:t>
      </w:r>
    </w:p>
    <w:p>
      <w:pPr>
        <w:jc w:val="both"/>
        <w:textAlignment w:val="auto"/>
        <w:ind w:firstLine="709"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4. </w:t>
      </w:r>
      <w:r>
        <w:rPr>
          <w:rFonts w:ascii="Times New Roman" w:eastAsia="Times New Roman" w:hAnsi="Times New Roman" w:cs="Times New Roman"/>
          <w:sz w:val="28"/>
        </w:rPr>
        <w:t xml:space="preserve">Дополнить Правила разделом 6 «</w:t>
      </w:r>
      <w:r>
        <w:rPr>
          <w:spacing w:val="2"/>
          <w:rFonts w:ascii="Times New Roman" w:eastAsia="Times New Roman" w:hAnsi="Times New Roman" w:cs="Times New Roman"/>
          <w:sz w:val="28"/>
        </w:rPr>
        <w:t xml:space="preserve">Размещение и содержание детских и спортивных площадок на территории муниципального образования» следующего содержания: </w:t>
      </w:r>
    </w:p>
    <w:p>
      <w:pPr>
        <w:jc w:val="both"/>
        <w:textAlignment w:val="auto"/>
        <w:ind w:firstLine="709"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</w:t>
      </w:r>
      <w:r>
        <w:rPr>
          <w:spacing w:val="2"/>
          <w:rFonts w:ascii="Times New Roman" w:eastAsia="Times New Roman" w:hAnsi="Times New Roman" w:cs="Times New Roman"/>
          <w:sz w:val="28"/>
        </w:rPr>
        <w:t xml:space="preserve">РАЗДЕЛ 6. РАЗМЕЩЕНИЕ И СОДЕРЖАНИЕ ДЕТСКИХ И СПОРТИВНЫХ ПЛОЩАДОК НА ТЕРРИТОРИИ МУНИЦИПАЛЬНОГО ОБРАЗОВАНИЯ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Проектирование детских и спортивных площадок осуществляется в соответствии с действующими нормативными правовыми актами Российской Федерации, Ленинградской области, муниципальными правовыми актами, включая приказ Минстроя России № 897/пр, Минспорта России № 1128 от 27.12.2019 «Об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инфраструктуры».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Расстояние от границы площадки </w:t>
      </w:r>
      <w:r>
        <w:rPr>
          <w:rFonts w:ascii="Times New Roman" w:eastAsia="Times New Roman" w:hAnsi="Times New Roman" w:cs="Times New Roman"/>
          <w:sz w:val="28"/>
        </w:rPr>
        <w:t xml:space="preserve">до парковок и гостевых стоянок автотранспортных средств </w:t>
      </w:r>
      <w:r>
        <w:rPr>
          <w:rFonts w:ascii="Times New Roman" w:eastAsia="Times New Roman" w:hAnsi="Times New Roman" w:cs="Times New Roman"/>
          <w:sz w:val="28"/>
          <w:color w:val="000000"/>
        </w:rPr>
        <w:t xml:space="preserve">должно соответствовать действующим санитарным правилам и нормам.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Ответственность за содержание детских и спортивных площадок, расположенных на придомовых территориях, и обеспечение безопасности на них возлагается на управляющие компании и ТСЖ, если иное не предусмотрено законом или договором.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случае выявления неисправности оборудования рекомендуется установить ограждение и разместить информацию о запрете использования данного оборудования.</w:t>
      </w:r>
    </w:p>
    <w:p>
      <w:pPr>
        <w:jc w:val="both"/>
        <w:textAlignment w:val="auto"/>
        <w:ind w:firstLine="851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Ремонт оборудования и (или) его элементов целесообразно производить, если это установлено производителем данного оборудования; в иных случаях такое оборудование требуется заменить или демонтировать в кратчайшие сроки.</w:t>
      </w:r>
    </w:p>
    <w:p>
      <w:pPr>
        <w:jc w:val="both"/>
        <w:textAlignment w:val="auto"/>
        <w:ind w:firstLine="851" w:left="0" w:right="0" w:start="0" w:end="0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Ответственным за содержание площадок необходимо следить за чистотой площадок, не допускать расположения на них посторонних предметов, опавших веток, зарастание травой. При выявлении образования ям на площадке рекомендуется установить заграждение и ликвидировать ямы.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Детские площадки предназначены для игр и активного отдыха детей разных возрастов: преддошкольного (до 3 лет), дошкольного (до 7 лет), младшего и среднего школьного возраста </w:t>
      </w:r>
      <w:r>
        <w:rPr>
          <w:spacing w:val="40"/>
          <w:rFonts w:ascii="Times New Roman" w:eastAsia="Times New Roman" w:hAnsi="Times New Roman" w:cs="Times New Roman"/>
          <w:sz w:val="28"/>
          <w:color w:val="000000"/>
        </w:rPr>
        <w:t xml:space="preserve">(7-12</w:t>
      </w:r>
      <w:r>
        <w:rPr>
          <w:rFonts w:ascii="Times New Roman" w:eastAsia="Times New Roman" w:hAnsi="Times New Roman" w:cs="Times New Roman"/>
          <w:sz w:val="28"/>
          <w:color w:val="000000"/>
        </w:rPr>
        <w:t xml:space="preserve"> лет).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Они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Для детей и подростков (12 - 16 лет) организуются спортивно-игровые комплексы (хоккейные коробки, площадки для активных игр и т.п.) и оборудование специальных мест для катания на самокатах, роликовых досках и коньках.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Они должны быть </w:t>
      </w:r>
      <w:r>
        <w:rPr>
          <w:rFonts w:ascii="Times New Roman" w:eastAsia="Times New Roman" w:hAnsi="Times New Roman" w:cs="Times New Roman"/>
          <w:sz w:val="28"/>
        </w:rPr>
        <w:t xml:space="preserve">оборудованы стендами, содержащими информацию о правилах поведения на площадке, правилах и режиме использования оборудования, а также телефонами ответственных лиц за их содержание.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Детские площадки должны отвечать требованиям: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3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 ГОСТ Р 52301-2013 «Национальный стандарт Российской Федерации. Оборудование и покрытия детских игровых площадок. Безопасность при эксплуатации. Общие требования» (утв. и введен в действие приказом Росстандарта от 24.06.2013 № 182-ст);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3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 ГОСТ Р 52169-2012 «Национальный стандарт Российской Федерации. Оборудование и покрытия детских игровых площадок. Безопасность конструкции и методы испытаний. Общие требования» (утв. и введен в действие приказом Росстандарта от 23.11.2012).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Игровое оборудование должно быть сертифицировано, соответствовать требованиям санитарно-гигиенических норм, охраны жизни и здоровья ребенка, быть удобным в технической эксплуатации, эстетически привлекательным.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Размещение игрового оборудования следует проектировать с учетом нормативных параметров безопасности. Требования к конструкциям игрового оборудования должны исключать острые углы, застревание частей тела ребенка, их попадание под элементы оборудования при движениях; поручни оборудования должны полностью охватываться рукой ребенка.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При выборе оборудования детских и спортивных площадок рекомендуется придерживаться современных российских и международных тенденций в области развития уличной детской игровой и спортивной инфраструктуры (в том числе по дизайну, функциональному назначению и эксплуатационным свойствам оборудования), а также учитывать: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а) материалы, использованные при производстве, подходящие к климатическим и географическим условиям региона, их соответствие требованиям санитарных норм и правил;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б) устойчивость конструкций, надежную фиксацию, крепление оборудования к основанию площадки и между собой или обеспечение возможности перемещения конструкций в зависимости от условий расположения;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в) планируемое расположение, не создающее препятствий для пешеходов и маломобильных групп населения;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г) антивандальную защищенность от разрушения, устойчивость к механическим воздействиям пользователей, включая сознательную порчу оборудования, оклейку, нанесение надписей и изображений;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д) возможность всесезонной эксплуатации;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е) дизайн и расцветку в зависимости от вида площадки, специализации функциональной зоны площадки;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ж) удобство монтажа и эксплуатации;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з) возможность ремонта и (или) быстрой замены деталей и комплектующих оборудования;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и) удобство обслуживания, а также механизированной и ручной очистки территории рядом с площадками и под конструкциями.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Не рекомендуется оснащать территории населенных пунктов муниципального образования однотипным и однообразным, а также морально устаревшим в части дизайна и функционала оборудованием.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При выборе покрытия детских игровых площадок рекомендуется отдать предпочтение покрытиям, обладающим амортизирующими свойствами, для предотвращения травмирования детей</w:t>
      </w:r>
      <w:r>
        <w:rPr>
          <w:rFonts w:ascii="Times New Roman" w:eastAsia="Times New Roman" w:hAnsi="Times New Roman" w:cs="Times New Roman"/>
          <w:sz w:val="28"/>
          <w:color w:val="000000"/>
        </w:rPr>
        <w:tab/>
      </w:r>
      <w:r>
        <w:rPr>
          <w:rFonts w:ascii="Times New Roman" w:eastAsia="Times New Roman" w:hAnsi="Times New Roman" w:cs="Times New Roman"/>
          <w:sz w:val="28"/>
          <w:color w:val="000000"/>
        </w:rPr>
        <w:t xml:space="preserve">при падении (использовать</w:t>
      </w:r>
      <w:r>
        <w:rPr>
          <w:rFonts w:ascii="Times New Roman" w:eastAsia="Times New Roman" w:hAnsi="Times New Roman" w:cs="Times New Roman"/>
          <w:sz w:val="24"/>
          <w:color w:val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color w:val="000000"/>
        </w:rPr>
        <w:t xml:space="preserve">ударопоглощающие (мягкие) виды покрытия).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Осветительное оборудование должно функционировать в режиме освещения территории, на которой расположена площадка.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Все площадки должны быть обеспечены подъездами для инвалидов либо пандусами.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Спортивные площадки, предназначенные для занятий физкультурой и спортом всех возрастных групп населения, следует проектировать в составе территорий жилого и рекреационного назначения, участков спортивных сооружений, участков общеобразовательных школ.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Минимальное расстояние от границ спортплощадок до окон жилых домов следует принимать от 20 до 40 м в зависимости от шумовых характеристик площадки.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 При создании и эксплуатации спортивных площадок учитываются следующие основные функциональные свойства: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разнообразие функциональных зон площадки;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безопасность для населения (разделение функциональных зон, соблюдение зон безопасности при размещении оборудования, экологическая защита, по необходимости - защитные ограждения площадки);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количество элементов и виды оборудования;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антивандальность оборудования;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всесезонная эксплуатация оборудования (возможно применение вспомогательного оборудования в виде навесов, шатров, павильонов);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привлекательный современный дизайн;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ремонтопригодность или возможность быстрой и недорогой замены сломанных элементов оборудования;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удобство в эксплуатации (наличие информационных стендов с описанием упражнений/правил использования, наличие скамеек для отдыха и переодевания, навесов, урн);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удобство в регулярном обслуживании площадки и уборке (включая отчистку площадки от снега).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В зависимости от вида спорта, для занятий которым организовывается площадка, рекомендуется подбирать различные материалы покрытия, в том числе резиновое покрытие для спортивных площадок, искусственный газон, специальный ковровый настил, песок.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Рекомендуется озеленение и ограждение площадки.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Площадки озеленяются посадками быстрорастущими породами деревьев и кустарников с учетом их инсоляции в течение 5 часов светового дня.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Не допускается применение колючих видов растений, применение растений с ядовитыми плодами, применение деревьев и кустарников, имеющих блестящие листья, дающие большое количество летящих семян, обильно плодоносящих и рано сбрасывающих листву.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Озеленение размещается по периметру площадки на расстоянии не менее 2 м от края площадки.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Для ограждения площадки возможно применять вертикальное озеленение.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2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Площадки оборудуются ограждением высотой 2,5 - 3 м, а в местах примыкания спортивных площадок друг к другу - высотой не менее 1,2 м.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Ограждение площадок рекомендуется проектировать с использованием изгородей, элементов дизайна, ландшафтной архитектуры, вертикального озеленения, с учетом требований по безопасности.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Рекомендуется применять осветительные элементы, обладающие антивандальными свойствами.».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footerReference w:type="even" r:id="rId4"/>
      <w:footerReference w:type="default" r:id="rId5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ourier New">
    <w:altName w:val="Courier New"/>
    <w:panose1 w:val="02070309020205020404"/>
    <w:family w:val="modern"/>
    <w:charset w:val="CC"/>
    <w:pitch w:val="fixed"/>
  </w:font>
  <w:font w:name="Symbol">
    <w:altName w:val="Symbol"/>
    <w:panose1 w:val="05050102010706020507"/>
    <w:family w:val="roman"/>
    <w:charset w:val="02"/>
    <w:pitch w:val="variable"/>
  </w:font>
  <w:font w:name="SimSun">
    <w:altName w:val="?Ўм§А-?Ўм§А?Ўм§¶?Ўм§А??Ўм§А?§ЮЎм§№"/>
    <w:panose1 w:val="02010600030101010101"/>
    <w:family w:val="auto"/>
    <w:charset w:val="86"/>
    <w:pitch w:val="variable"/>
  </w:font>
  <w:font w:name="Cambria Math">
    <w:panose1 w:val="02040503050406030204"/>
    <w:family w:val="roman"/>
    <w:charset w:val="CC"/>
    <w:pitch w:val="variable"/>
  </w:font>
  <w:font w:name="Cambria">
    <w:altName w:val="Palatino Linotype"/>
    <w:panose1 w:val="020405030504060302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@SimSun">
    <w:panose1 w:val="02010600030101010101"/>
    <w:family w:val="auto"/>
    <w:charset w:val="86"/>
    <w:pitch w:val="variable"/>
  </w:font>
  <w:font w:name="Verdana">
    <w:panose1 w:val="020b0604030504040204"/>
    <w:family w:val="swiss"/>
    <w:charset w:val="CC"/>
    <w:pitch w:val="variable"/>
  </w:font>
  <w:font w:name="JournalRub">
    <w:altName w:val="Arial"/>
    <w:panose1 w:val="00000000000000000000"/>
    <w:family w:val="swiss"/>
    <w:charset w:val="00"/>
    <w:pitch w:val="default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altName w:val="Palatino Linotype"/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ourier New">
    <w:altName w:val="Courier New"/>
    <w:family w:val="modern"/>
    <w:charset w:val="00"/>
    <w:pitch w:val="fixed"/>
  </w:font>
  <w:font w:name="Courier New CE">
    <w:altName w:val="Courier New"/>
    <w:family w:val="modern"/>
    <w:charset w:val="EE"/>
    <w:pitch w:val="fixed"/>
  </w:font>
  <w:font w:name="Courier New Greek">
    <w:altName w:val="Courier New"/>
    <w:family w:val="modern"/>
    <w:charset w:val="A1"/>
    <w:pitch w:val="fixed"/>
  </w:font>
  <w:font w:name="Courier New Tur">
    <w:altName w:val="Courier New"/>
    <w:family w:val="modern"/>
    <w:charset w:val="A2"/>
    <w:pitch w:val="fixed"/>
  </w:font>
  <w:font w:name="Courier New (Hebrew)">
    <w:altName w:val="Courier New"/>
    <w:family w:val="modern"/>
    <w:charset w:val="B1"/>
    <w:pitch w:val="fixed"/>
  </w:font>
  <w:font w:name="Courier New (Arabic)">
    <w:altName w:val="Courier New"/>
    <w:family w:val="modern"/>
    <w:charset w:val="B2"/>
    <w:pitch w:val="fixed"/>
  </w:font>
  <w:font w:name="Courier New Baltic">
    <w:altName w:val="Courier New"/>
    <w:family w:val="modern"/>
    <w:charset w:val="BA"/>
    <w:pitch w:val="fixed"/>
  </w:font>
  <w:font w:name="Courier New (Vietnamese)">
    <w:altName w:val="Courier New"/>
    <w:family w:val="modern"/>
    <w:charset w:val="A3"/>
    <w:pitch w:val="fixed"/>
  </w:font>
  <w:font w:name="SimSun Western">
    <w:altName w:val="?Ўм§А-?Ўм§А?Ўм§¶?Ўм§А??Ўм§А?§ЮЎм§№"/>
    <w:family w:val="auto"/>
    <w:charset w:val="00"/>
    <w:pitch w:val="variable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@SimSun Western">
    <w:family w:val="auto"/>
    <w:charset w:val="00"/>
    <w:pitch w:val="variable"/>
  </w:font>
  <w:font w:name="Verdana">
    <w:family w:val="swiss"/>
    <w:charset w:val="00"/>
    <w:pitch w:val="variable"/>
  </w:font>
  <w:font w:name="Verdana CE">
    <w:family w:val="swiss"/>
    <w:charset w:val="EE"/>
    <w:pitch w:val="variable"/>
  </w:font>
  <w:font w:name="Verdana Greek">
    <w:family w:val="swiss"/>
    <w:charset w:val="A1"/>
    <w:pitch w:val="variable"/>
  </w:font>
  <w:font w:name="Verdana Tur">
    <w:family w:val="swiss"/>
    <w:charset w:val="A2"/>
    <w:pitch w:val="variable"/>
  </w:font>
  <w:font w:name="Verdana Baltic">
    <w:family w:val="swiss"/>
    <w:charset w:val="BA"/>
    <w:pitch w:val="variable"/>
  </w:font>
  <w:font w:name="Verdana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textAlignment w:val="auto"/>
      <w:ind w:left="0" w:right="0" w:start="0" w:end="0"/>
      <w:adjustRightInd w:val="true"/>
      <w:spacing w:after="0" w:line="240"/>
      <w:bidi w:val="false"/>
      <w:framePr w:hAnchor="margin" w:xAlign="right" w:vAnchor="text" w:y="0" w:wrap="around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"/>
  </w:p>
  <w:p>
    <w:pPr>
      <w:jc w:val="left"/>
      <w:textAlignment w:val="auto"/>
      <w:ind w:left="0" w:right="360" w:start="0" w:end="36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textAlignment w:val="auto"/>
      <w:ind w:left="0" w:right="0" w:start="0" w:end="0"/>
      <w:adjustRightInd w:val="true"/>
      <w:spacing w:after="0" w:line="240"/>
      <w:bidi w:val="false"/>
      <w:framePr w:hAnchor="margin" w:xAlign="right" w:vAnchor="text" w:y="0" w:wrap="around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">
      <w:r>
        <w:rPr>
          <w:rFonts w:ascii="Times New Roman" w:eastAsia="Times New Roman" w:hAnsi="Times New Roman" w:cs="Times New Roman"/>
          <w:sz w:val="24"/>
        </w:rPr>
        <w:t xml:space="preserve">2</w:t>
      </w:r>
    </w:fldSimple>
  </w:p>
  <w:p>
    <w:pPr>
      <w:jc w:val="left"/>
      <w:textAlignment w:val="auto"/>
      <w:ind w:left="0" w:right="360" w:start="0" w:end="36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-125">
    <w:multiLevelType w:val="singleLevel"/>
    <w:tmpl w:val="949a8112"/>
    <w:lvl w:ilvl="0">
      <w:lvlJc w:val="left"/>
      <w:lvlText w:val=""/>
      <w:numFmt w:val="bullet"/>
      <w:start w:val="1"/>
      <w:suff w:val="tab"/>
      <w:pPr>
        <w:ind w:hanging="360" w:left="643" w:start="643"/>
      </w:pPr>
      <w:rPr>
        <w:rFonts w:ascii="Symbol" w:eastAsia="Symbol" w:hAnsi="Symbol" w:cs="Symbol"/>
        <w:sz w:val="24"/>
      </w:rPr>
    </w:lvl>
  </w:abstractNum>
  <w:abstractNum w:abstractNumId="-119">
    <w:multiLevelType w:val="singleLevel"/>
    <w:tmpl w:val="268ae894"/>
    <w:lvl w:ilvl="0">
      <w:lvlJc w:val="left"/>
      <w:lvlText w:val=""/>
      <w:numFmt w:val="bullet"/>
      <w:start w:val="1"/>
      <w:suff w:val="tab"/>
      <w:pPr>
        <w:ind w:hanging="360" w:left="360" w:start="360"/>
      </w:pPr>
      <w:rPr>
        <w:rFonts w:ascii="Symbol" w:eastAsia="Symbol" w:hAnsi="Symbol" w:cs="Symbol"/>
        <w:sz w:val="24"/>
      </w:rPr>
    </w:lvl>
  </w:abstractNum>
  <w:abstractNum w:abstractNumId="1">
    <w:multiLevelType w:val="multilevel"/>
    <w:tmpl w:val="92e27342"/>
    <w:lvl w:ilvl="0">
      <w:lvlJc w:val="left"/>
      <w:lvlText w:val="%1."/>
      <w:numFmt w:val="decimal"/>
      <w:start w:val="3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1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2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3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4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5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6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7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8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</w:abstractNum>
  <w:abstractNum w:abstractNumId="3">
    <w:multiLevelType w:val="multilevel"/>
    <w:tmpl w:val="2"/>
    <w:lvl w:ilvl="0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1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2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3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4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5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6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7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8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</w:abstractNum>
  <w:abstractNum w:abstractNumId="1181434976">
    <w:multiLevelType w:val="hybridMultilevel"/>
    <w:tmpl w:val="febabffc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b w:val="false"/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805999360">
    <w:multiLevelType w:val="multilevel"/>
    <w:tmpl w:val="419001f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8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1970934902">
    <w:multiLevelType w:val="hybridMultilevel"/>
    <w:tmpl w:val="e04ed4ce"/>
    <w:lvl w:ilvl="0">
      <w:lvlJc w:val="left"/>
      <w:lvlText w:val="%1."/>
      <w:numFmt w:val="decimal"/>
      <w:start w:val="4"/>
      <w:suff w:val="tab"/>
      <w:pPr>
        <w:ind w:hanging="360" w:left="1080" w:start="1080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00" w:start="180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20" w:start="252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40" w:start="324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60" w:start="396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80" w:start="468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00" w:start="540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20" w:start="612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40" w:start="6840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-119"/>
  </w:num>
  <w:num w:numId="2">
    <w:abstractNumId w:val="-125"/>
  </w:num>
  <w:num w:numId="3">
    <w:abstractNumId w:val="-119"/>
  </w:num>
  <w:num w:numId="4">
    <w:abstractNumId w:val="-125"/>
  </w:num>
  <w:num w:numId="5">
    <w:abstractNumId w:val="-119"/>
  </w:num>
  <w:num w:numId="6">
    <w:abstractNumId w:val="-125"/>
  </w:num>
  <w:num w:numId="7">
    <w:abstractNumId w:val="-119"/>
  </w:num>
  <w:num w:numId="8">
    <w:abstractNumId w:val="-125"/>
  </w:num>
  <w:num w:numId="9">
    <w:abstractNumId w:val="-119"/>
  </w:num>
  <w:num w:numId="10">
    <w:abstractNumId w:val="-125"/>
  </w:num>
  <w:num w:numId="11">
    <w:abstractNumId w:val="-119"/>
  </w:num>
  <w:num w:numId="12">
    <w:abstractNumId w:val="-125"/>
  </w:num>
  <w:num w:numId="13">
    <w:abstractNumId w:val="-119"/>
  </w:num>
  <w:num w:numId="14">
    <w:abstractNumId w:val="-125"/>
  </w:num>
  <w:num w:numId="15">
    <w:abstractNumId w:val="-119"/>
  </w:num>
  <w:num w:numId="16">
    <w:abstractNumId w:val="-125"/>
  </w:num>
  <w:num w:numId="17">
    <w:abstractNumId w:val="-119"/>
  </w:num>
  <w:num w:numId="18">
    <w:abstractNumId w:val="-125"/>
  </w:num>
  <w:num w:numId="19">
    <w:abstractNumId w:val="-119"/>
  </w:num>
  <w:num w:numId="20">
    <w:abstractNumId w:val="-125"/>
  </w:num>
  <w:num w:numId="21">
    <w:abstractNumId w:val="-119"/>
  </w:num>
  <w:num w:numId="22">
    <w:abstractNumId w:val="-125"/>
  </w:num>
  <w:num w:numId="23">
    <w:abstractNumId w:val="-119"/>
  </w:num>
  <w:num w:numId="24">
    <w:abstractNumId w:val="-125"/>
  </w:num>
  <w:num w:numId="25">
    <w:abstractNumId w:val="-119"/>
  </w:num>
  <w:num w:numId="26">
    <w:abstractNumId w:val="-125"/>
  </w:num>
  <w:num w:numId="27">
    <w:abstractNumId w:val="-119"/>
  </w:num>
  <w:num w:numId="28">
    <w:abstractNumId w:val="-125"/>
  </w:num>
  <w:num w:numId="29">
    <w:abstractNumId w:val="-119"/>
  </w:num>
  <w:num w:numId="30">
    <w:abstractNumId w:val="-125"/>
  </w:num>
  <w:num w:numId="31">
    <w:abstractNumId w:val="-119"/>
  </w:num>
  <w:num w:numId="32">
    <w:abstractNumId w:val="-125"/>
  </w:num>
  <w:num w:numId="33">
    <w:abstractNumId w:val="-119"/>
  </w:num>
  <w:num w:numId="34">
    <w:abstractNumId w:val="-125"/>
  </w:num>
  <w:num w:numId="35">
    <w:abstractNumId w:val="-119"/>
  </w:num>
  <w:num w:numId="36">
    <w:abstractNumId w:val="-125"/>
  </w:num>
  <w:num w:numId="37">
    <w:abstractNumId w:val="-119"/>
  </w:num>
  <w:num w:numId="38">
    <w:abstractNumId w:val="-125"/>
  </w:num>
  <w:num w:numId="39">
    <w:abstractNumId w:val="1805999360"/>
  </w:num>
  <w:num w:numId="40">
    <w:abstractNumId w:val="1181434976"/>
  </w:num>
  <w:num w:numId="41">
    <w:abstractNumId w:val="1970934902"/>
  </w:num>
  <w:num w:numId="42">
    <w:abstractNumId w:val="1"/>
  </w:num>
  <w:num w:numId="43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numbering" Target="numbering.xml"/><Relationship Id="rId9" Type="http://schemas.openxmlformats.org/officeDocument/2006/relationships/styles" Target="styles.xml"/><Relationship Id="rId10" Type="http://schemas.openxmlformats.org/officeDocument/2006/relationships/fontTable" Target="fontTable.xml"/><Relationship Id="rId1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7</TotalTime>
  <Pages>5</Pages>
  <Words>1699</Words>
  <Characters>9686</Characters>
  <CharactersWithSpaces>11363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подготовлен: Лебедевой Ю</dc:title>
  <dc:creator>Admin</dc:creator>
</cp:coreProperties>
</file>